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0FB2" w:rsidRDefault="008B0FB2" w:rsidP="008B0FB2">
      <w:pPr>
        <w:rPr>
          <w:rtl/>
        </w:rPr>
      </w:pP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8B0FB2" w:rsidTr="00F85C16">
        <w:trPr>
          <w:jc w:val="center"/>
        </w:trPr>
        <w:tc>
          <w:tcPr>
            <w:tcW w:w="743" w:type="dxa"/>
          </w:tcPr>
          <w:p w:rsidR="008B0FB2" w:rsidRPr="00E36390" w:rsidRDefault="008B0FB2" w:rsidP="00F85C16">
            <w:pPr>
              <w:jc w:val="both"/>
              <w:rPr>
                <w:rFonts w:ascii="Arial" w:hAnsi="Arial"/>
                <w:b/>
                <w:bCs/>
                <w:sz w:val="26"/>
                <w:szCs w:val="26"/>
              </w:rPr>
            </w:pPr>
            <w:r w:rsidRPr="00E36390">
              <w:rPr>
                <w:rFonts w:ascii="Arial" w:hAnsi="Arial" w:hint="cs"/>
                <w:b/>
                <w:bCs/>
                <w:sz w:val="26"/>
                <w:szCs w:val="26"/>
                <w:rtl/>
              </w:rPr>
              <w:t>ב</w:t>
            </w:r>
            <w:r w:rsidRPr="00E36390">
              <w:rPr>
                <w:rFonts w:ascii="Arial" w:hAnsi="Arial"/>
                <w:b/>
                <w:bCs/>
                <w:sz w:val="26"/>
                <w:szCs w:val="26"/>
                <w:rtl/>
              </w:rPr>
              <w:t xml:space="preserve">פני </w:t>
            </w:r>
          </w:p>
        </w:tc>
        <w:tc>
          <w:tcPr>
            <w:tcW w:w="8077" w:type="dxa"/>
            <w:gridSpan w:val="2"/>
          </w:tcPr>
          <w:p w:rsidR="008B0FB2" w:rsidRPr="00E36390" w:rsidRDefault="008B0FB2" w:rsidP="00F85C16">
            <w:pPr>
              <w:rPr>
                <w:rFonts w:ascii="Arial" w:hAnsi="Arial"/>
                <w:b/>
                <w:bCs/>
                <w:sz w:val="26"/>
                <w:szCs w:val="26"/>
                <w:rtl/>
              </w:rPr>
            </w:pPr>
            <w:r w:rsidRPr="00E36390">
              <w:rPr>
                <w:rFonts w:ascii="Arial" w:hAnsi="Arial" w:hint="cs"/>
                <w:b/>
                <w:bCs/>
                <w:sz w:val="26"/>
                <w:szCs w:val="26"/>
                <w:rtl/>
              </w:rPr>
              <w:t>כב' ה</w:t>
            </w:r>
            <w:sdt>
              <w:sdtPr>
                <w:rPr>
                  <w:sz w:val="26"/>
                  <w:szCs w:val="26"/>
                  <w:rtl/>
                </w:rPr>
                <w:alias w:val="1574"/>
                <w:tag w:val="1574"/>
                <w:id w:val="490682261"/>
                <w:text w:multiLine="1"/>
              </w:sdtPr>
              <w:sdtEndPr/>
              <w:sdtContent>
                <w:r w:rsidRPr="00E36390">
                  <w:rPr>
                    <w:rFonts w:ascii="Arial" w:hAnsi="Arial"/>
                    <w:b/>
                    <w:bCs/>
                    <w:sz w:val="26"/>
                    <w:szCs w:val="26"/>
                    <w:rtl/>
                  </w:rPr>
                  <w:t>שופטת</w:t>
                </w:r>
              </w:sdtContent>
            </w:sdt>
            <w:r w:rsidRPr="00E36390">
              <w:rPr>
                <w:rFonts w:ascii="Arial" w:hAnsi="Arial" w:hint="cs"/>
                <w:b/>
                <w:bCs/>
                <w:sz w:val="26"/>
                <w:szCs w:val="26"/>
                <w:rtl/>
              </w:rPr>
              <w:t xml:space="preserve">  </w:t>
            </w:r>
            <w:sdt>
              <w:sdtPr>
                <w:rPr>
                  <w:sz w:val="26"/>
                  <w:szCs w:val="26"/>
                  <w:rtl/>
                </w:rPr>
                <w:alias w:val="1573"/>
                <w:tag w:val="1573"/>
                <w:id w:val="-1842311034"/>
                <w:text w:multiLine="1"/>
              </w:sdtPr>
              <w:sdtEndPr/>
              <w:sdtContent>
                <w:r w:rsidRPr="00E36390">
                  <w:rPr>
                    <w:rFonts w:ascii="Arial" w:hAnsi="Arial"/>
                    <w:b/>
                    <w:bCs/>
                    <w:sz w:val="26"/>
                    <w:szCs w:val="26"/>
                    <w:rtl/>
                  </w:rPr>
                  <w:t>תמר סנונית פורר</w:t>
                </w:r>
              </w:sdtContent>
            </w:sdt>
          </w:p>
          <w:p w:rsidR="008B0FB2" w:rsidRPr="00E36390" w:rsidRDefault="008B0FB2" w:rsidP="00F85C16">
            <w:pPr>
              <w:rPr>
                <w:rFonts w:ascii="Arial" w:hAnsi="Arial" w:cs="FrankRuehl"/>
                <w:sz w:val="26"/>
                <w:szCs w:val="26"/>
                <w:highlight w:val="yellow"/>
              </w:rPr>
            </w:pPr>
          </w:p>
        </w:tc>
      </w:tr>
      <w:tr w:rsidR="008B0FB2" w:rsidRPr="00323501" w:rsidTr="00F85C16">
        <w:trPr>
          <w:jc w:val="center"/>
        </w:trPr>
        <w:tc>
          <w:tcPr>
            <w:tcW w:w="3249" w:type="dxa"/>
            <w:gridSpan w:val="2"/>
          </w:tcPr>
          <w:p w:rsidR="008B0FB2" w:rsidRPr="008B0FB2" w:rsidRDefault="008B0FB2" w:rsidP="00F85C16">
            <w:pPr>
              <w:bidi w:val="0"/>
              <w:jc w:val="right"/>
              <w:rPr>
                <w:rFonts w:ascii="Arial" w:hAnsi="Arial"/>
                <w:b/>
                <w:bCs/>
                <w:noProof w:val="0"/>
                <w:sz w:val="26"/>
                <w:szCs w:val="26"/>
                <w:rtl/>
              </w:rPr>
            </w:pPr>
            <w:r w:rsidRPr="008B0FB2">
              <w:rPr>
                <w:rFonts w:ascii="Arial" w:hAnsi="Arial" w:hint="cs"/>
                <w:b/>
                <w:bCs/>
                <w:noProof w:val="0"/>
                <w:sz w:val="26"/>
                <w:szCs w:val="26"/>
                <w:u w:val="single"/>
                <w:rtl/>
              </w:rPr>
              <w:t>התובעת</w:t>
            </w:r>
            <w:r w:rsidRPr="008B0FB2">
              <w:rPr>
                <w:rFonts w:ascii="Arial" w:hAnsi="Arial" w:hint="cs"/>
                <w:b/>
                <w:bCs/>
                <w:noProof w:val="0"/>
                <w:sz w:val="26"/>
                <w:szCs w:val="26"/>
                <w:rtl/>
              </w:rPr>
              <w:t>:</w:t>
            </w:r>
          </w:p>
        </w:tc>
        <w:tc>
          <w:tcPr>
            <w:tcW w:w="5571" w:type="dxa"/>
          </w:tcPr>
          <w:p w:rsidR="008B0FB2" w:rsidRPr="008B0FB2" w:rsidRDefault="008B0FB2" w:rsidP="00F85C16">
            <w:pPr>
              <w:rPr>
                <w:rStyle w:val="a9"/>
                <w:b/>
                <w:bCs/>
                <w:color w:val="auto"/>
                <w:sz w:val="26"/>
                <w:szCs w:val="26"/>
                <w:rtl/>
              </w:rPr>
            </w:pPr>
            <w:r w:rsidRPr="008B0FB2">
              <w:rPr>
                <w:rStyle w:val="a9"/>
                <w:rFonts w:hint="eastAsia"/>
                <w:b/>
                <w:bCs/>
                <w:color w:val="auto"/>
                <w:sz w:val="26"/>
                <w:szCs w:val="26"/>
                <w:rtl/>
              </w:rPr>
              <w:t>התובעת</w:t>
            </w:r>
            <w:r w:rsidRPr="008B0FB2">
              <w:rPr>
                <w:b/>
                <w:bCs/>
                <w:noProof w:val="0"/>
                <w:sz w:val="26"/>
                <w:szCs w:val="26"/>
                <w:rtl/>
              </w:rPr>
              <w:t xml:space="preserve">, </w:t>
            </w:r>
            <w:r w:rsidRPr="008B0FB2">
              <w:rPr>
                <w:rStyle w:val="a9"/>
                <w:b/>
                <w:bCs/>
                <w:color w:val="auto"/>
                <w:sz w:val="26"/>
                <w:szCs w:val="26"/>
                <w:rtl/>
              </w:rPr>
              <w:t>ת"ז</w:t>
            </w:r>
            <w:r w:rsidRPr="008B0FB2">
              <w:rPr>
                <w:b/>
                <w:bCs/>
                <w:noProof w:val="0"/>
                <w:sz w:val="26"/>
                <w:szCs w:val="26"/>
                <w:rtl/>
              </w:rPr>
              <w:t xml:space="preserve"> </w:t>
            </w:r>
          </w:p>
          <w:p w:rsidR="008B0FB2" w:rsidRPr="008B0FB2" w:rsidRDefault="008B0FB2" w:rsidP="00F85C16">
            <w:pPr>
              <w:rPr>
                <w:b/>
                <w:bCs/>
                <w:noProof w:val="0"/>
                <w:sz w:val="26"/>
                <w:szCs w:val="26"/>
                <w:rtl/>
              </w:rPr>
            </w:pPr>
            <w:r w:rsidRPr="008B0FB2">
              <w:rPr>
                <w:rFonts w:hint="eastAsia"/>
                <w:b/>
                <w:bCs/>
                <w:noProof w:val="0"/>
                <w:sz w:val="26"/>
                <w:szCs w:val="26"/>
                <w:rtl/>
              </w:rPr>
              <w:t>ע</w:t>
            </w:r>
            <w:r w:rsidRPr="008B0FB2">
              <w:rPr>
                <w:b/>
                <w:bCs/>
                <w:noProof w:val="0"/>
                <w:sz w:val="26"/>
                <w:szCs w:val="26"/>
                <w:rtl/>
              </w:rPr>
              <w:t xml:space="preserve">"י </w:t>
            </w:r>
            <w:r w:rsidRPr="008B0FB2">
              <w:rPr>
                <w:rFonts w:hint="eastAsia"/>
                <w:b/>
                <w:bCs/>
                <w:noProof w:val="0"/>
                <w:sz w:val="26"/>
                <w:szCs w:val="26"/>
                <w:rtl/>
              </w:rPr>
              <w:t>ב</w:t>
            </w:r>
            <w:r w:rsidRPr="008B0FB2">
              <w:rPr>
                <w:b/>
                <w:bCs/>
                <w:noProof w:val="0"/>
                <w:sz w:val="26"/>
                <w:szCs w:val="26"/>
                <w:rtl/>
              </w:rPr>
              <w:t xml:space="preserve">"כ </w:t>
            </w:r>
            <w:r w:rsidRPr="008B0FB2">
              <w:rPr>
                <w:rFonts w:hint="eastAsia"/>
                <w:b/>
                <w:bCs/>
                <w:noProof w:val="0"/>
                <w:sz w:val="26"/>
                <w:szCs w:val="26"/>
                <w:rtl/>
              </w:rPr>
              <w:t>עו</w:t>
            </w:r>
            <w:r w:rsidRPr="008B0FB2">
              <w:rPr>
                <w:b/>
                <w:bCs/>
                <w:noProof w:val="0"/>
                <w:sz w:val="26"/>
                <w:szCs w:val="26"/>
                <w:rtl/>
              </w:rPr>
              <w:t xml:space="preserve">"ד </w:t>
            </w:r>
            <w:r w:rsidRPr="008B0FB2">
              <w:rPr>
                <w:rFonts w:hint="eastAsia"/>
                <w:b/>
                <w:bCs/>
                <w:noProof w:val="0"/>
                <w:sz w:val="26"/>
                <w:szCs w:val="26"/>
                <w:rtl/>
              </w:rPr>
              <w:t>פרחיה</w:t>
            </w:r>
            <w:r w:rsidRPr="008B0FB2">
              <w:rPr>
                <w:b/>
                <w:bCs/>
                <w:noProof w:val="0"/>
                <w:sz w:val="26"/>
                <w:szCs w:val="26"/>
                <w:rtl/>
              </w:rPr>
              <w:t xml:space="preserve"> </w:t>
            </w:r>
            <w:r w:rsidRPr="008B0FB2">
              <w:rPr>
                <w:rFonts w:hint="eastAsia"/>
                <w:b/>
                <w:bCs/>
                <w:noProof w:val="0"/>
                <w:sz w:val="26"/>
                <w:szCs w:val="26"/>
                <w:rtl/>
              </w:rPr>
              <w:t>ועו</w:t>
            </w:r>
            <w:r w:rsidRPr="008B0FB2">
              <w:rPr>
                <w:b/>
                <w:bCs/>
                <w:noProof w:val="0"/>
                <w:sz w:val="26"/>
                <w:szCs w:val="26"/>
                <w:rtl/>
              </w:rPr>
              <w:t xml:space="preserve">"ד </w:t>
            </w:r>
            <w:r w:rsidRPr="008B0FB2">
              <w:rPr>
                <w:rFonts w:hint="eastAsia"/>
                <w:b/>
                <w:bCs/>
                <w:noProof w:val="0"/>
                <w:sz w:val="26"/>
                <w:szCs w:val="26"/>
                <w:rtl/>
              </w:rPr>
              <w:t>אסייג</w:t>
            </w:r>
          </w:p>
        </w:tc>
      </w:tr>
      <w:tr w:rsidR="008B0FB2" w:rsidRPr="00323501" w:rsidTr="00F85C16">
        <w:trPr>
          <w:jc w:val="center"/>
        </w:trPr>
        <w:tc>
          <w:tcPr>
            <w:tcW w:w="8820" w:type="dxa"/>
            <w:gridSpan w:val="3"/>
          </w:tcPr>
          <w:p w:rsidR="008B0FB2" w:rsidRPr="008B0FB2" w:rsidRDefault="008B0FB2" w:rsidP="00F85C16">
            <w:pPr>
              <w:rPr>
                <w:rFonts w:ascii="Arial" w:hAnsi="Arial"/>
                <w:b/>
                <w:bCs/>
                <w:noProof w:val="0"/>
                <w:sz w:val="26"/>
                <w:szCs w:val="26"/>
                <w:rtl/>
              </w:rPr>
            </w:pPr>
          </w:p>
          <w:p w:rsidR="008B0FB2" w:rsidRPr="008B0FB2" w:rsidRDefault="008B0FB2" w:rsidP="00F85C16">
            <w:pPr>
              <w:jc w:val="center"/>
              <w:rPr>
                <w:rFonts w:ascii="Arial" w:hAnsi="Arial"/>
                <w:b/>
                <w:bCs/>
                <w:noProof w:val="0"/>
                <w:sz w:val="26"/>
                <w:szCs w:val="26"/>
                <w:rtl/>
              </w:rPr>
            </w:pPr>
            <w:r w:rsidRPr="008B0FB2">
              <w:rPr>
                <w:rFonts w:ascii="Arial" w:hAnsi="Arial"/>
                <w:b/>
                <w:bCs/>
                <w:noProof w:val="0"/>
                <w:sz w:val="26"/>
                <w:szCs w:val="26"/>
                <w:rtl/>
              </w:rPr>
              <w:t>נגד</w:t>
            </w:r>
          </w:p>
          <w:p w:rsidR="008B0FB2" w:rsidRPr="008B0FB2" w:rsidRDefault="008B0FB2" w:rsidP="00F85C16">
            <w:pPr>
              <w:rPr>
                <w:rFonts w:ascii="Arial" w:hAnsi="Arial"/>
                <w:b/>
                <w:bCs/>
                <w:noProof w:val="0"/>
                <w:sz w:val="26"/>
                <w:szCs w:val="26"/>
              </w:rPr>
            </w:pPr>
          </w:p>
        </w:tc>
      </w:tr>
      <w:tr w:rsidR="008B0FB2" w:rsidRPr="00323501" w:rsidTr="00F85C16">
        <w:trPr>
          <w:jc w:val="center"/>
        </w:trPr>
        <w:tc>
          <w:tcPr>
            <w:tcW w:w="3249" w:type="dxa"/>
            <w:gridSpan w:val="2"/>
          </w:tcPr>
          <w:p w:rsidR="008B0FB2" w:rsidRPr="008B0FB2" w:rsidRDefault="008B0FB2" w:rsidP="00F85C16">
            <w:pPr>
              <w:rPr>
                <w:rFonts w:ascii="Arial" w:hAnsi="Arial"/>
                <w:b/>
                <w:bCs/>
                <w:noProof w:val="0"/>
                <w:sz w:val="26"/>
                <w:szCs w:val="26"/>
                <w:rtl/>
              </w:rPr>
            </w:pPr>
            <w:r w:rsidRPr="008B0FB2">
              <w:rPr>
                <w:rFonts w:ascii="Arial" w:hAnsi="Arial" w:hint="eastAsia"/>
                <w:b/>
                <w:bCs/>
                <w:noProof w:val="0"/>
                <w:sz w:val="26"/>
                <w:szCs w:val="26"/>
                <w:u w:val="single"/>
                <w:rtl/>
              </w:rPr>
              <w:t>הנתבע</w:t>
            </w:r>
            <w:r w:rsidRPr="008B0FB2">
              <w:rPr>
                <w:rFonts w:ascii="Arial" w:hAnsi="Arial"/>
                <w:b/>
                <w:bCs/>
                <w:noProof w:val="0"/>
                <w:sz w:val="26"/>
                <w:szCs w:val="26"/>
                <w:rtl/>
              </w:rPr>
              <w:t>:</w:t>
            </w:r>
          </w:p>
          <w:p w:rsidR="008B0FB2" w:rsidRPr="008B0FB2" w:rsidRDefault="008B0FB2" w:rsidP="00F85C16">
            <w:pPr>
              <w:rPr>
                <w:rFonts w:ascii="Arial" w:hAnsi="Arial"/>
                <w:b/>
                <w:bCs/>
                <w:noProof w:val="0"/>
                <w:sz w:val="26"/>
                <w:szCs w:val="26"/>
              </w:rPr>
            </w:pPr>
          </w:p>
        </w:tc>
        <w:tc>
          <w:tcPr>
            <w:tcW w:w="5571" w:type="dxa"/>
          </w:tcPr>
          <w:p w:rsidR="008B0FB2" w:rsidRPr="008B0FB2" w:rsidRDefault="008B0FB2" w:rsidP="00F85C16">
            <w:pPr>
              <w:rPr>
                <w:rStyle w:val="a9"/>
                <w:b/>
                <w:bCs/>
                <w:color w:val="auto"/>
                <w:sz w:val="26"/>
                <w:szCs w:val="26"/>
                <w:rtl/>
              </w:rPr>
            </w:pPr>
            <w:r w:rsidRPr="008B0FB2">
              <w:rPr>
                <w:rStyle w:val="a9"/>
                <w:rFonts w:hint="eastAsia"/>
                <w:b/>
                <w:bCs/>
                <w:color w:val="auto"/>
                <w:sz w:val="26"/>
                <w:szCs w:val="26"/>
                <w:rtl/>
              </w:rPr>
              <w:t>הנתבע</w:t>
            </w:r>
            <w:r w:rsidRPr="008B0FB2">
              <w:rPr>
                <w:b/>
                <w:bCs/>
                <w:noProof w:val="0"/>
                <w:sz w:val="26"/>
                <w:szCs w:val="26"/>
                <w:rtl/>
              </w:rPr>
              <w:t xml:space="preserve">, </w:t>
            </w:r>
            <w:r w:rsidRPr="008B0FB2">
              <w:rPr>
                <w:rStyle w:val="a9"/>
                <w:b/>
                <w:bCs/>
                <w:color w:val="auto"/>
                <w:sz w:val="26"/>
                <w:szCs w:val="26"/>
                <w:rtl/>
              </w:rPr>
              <w:t>ת"ז</w:t>
            </w:r>
            <w:r w:rsidRPr="008B0FB2">
              <w:rPr>
                <w:b/>
                <w:bCs/>
                <w:noProof w:val="0"/>
                <w:sz w:val="26"/>
                <w:szCs w:val="26"/>
                <w:rtl/>
              </w:rPr>
              <w:t xml:space="preserve">  </w:t>
            </w:r>
          </w:p>
          <w:p w:rsidR="008B0FB2" w:rsidRPr="008B0FB2" w:rsidRDefault="008B0FB2" w:rsidP="00F85C16">
            <w:pPr>
              <w:rPr>
                <w:b/>
                <w:bCs/>
                <w:noProof w:val="0"/>
                <w:sz w:val="26"/>
                <w:szCs w:val="26"/>
                <w:rtl/>
              </w:rPr>
            </w:pPr>
            <w:r w:rsidRPr="008B0FB2">
              <w:rPr>
                <w:rFonts w:hint="eastAsia"/>
                <w:b/>
                <w:bCs/>
                <w:noProof w:val="0"/>
                <w:sz w:val="26"/>
                <w:szCs w:val="26"/>
                <w:rtl/>
              </w:rPr>
              <w:t>ע</w:t>
            </w:r>
            <w:r w:rsidRPr="008B0FB2">
              <w:rPr>
                <w:b/>
                <w:bCs/>
                <w:noProof w:val="0"/>
                <w:sz w:val="26"/>
                <w:szCs w:val="26"/>
                <w:rtl/>
              </w:rPr>
              <w:t xml:space="preserve">"י </w:t>
            </w:r>
            <w:r w:rsidRPr="008B0FB2">
              <w:rPr>
                <w:rFonts w:hint="eastAsia"/>
                <w:b/>
                <w:bCs/>
                <w:noProof w:val="0"/>
                <w:sz w:val="26"/>
                <w:szCs w:val="26"/>
                <w:rtl/>
              </w:rPr>
              <w:t>ב</w:t>
            </w:r>
            <w:r w:rsidRPr="008B0FB2">
              <w:rPr>
                <w:b/>
                <w:bCs/>
                <w:noProof w:val="0"/>
                <w:sz w:val="26"/>
                <w:szCs w:val="26"/>
                <w:rtl/>
              </w:rPr>
              <w:t xml:space="preserve">"כ </w:t>
            </w:r>
            <w:r w:rsidRPr="008B0FB2">
              <w:rPr>
                <w:rFonts w:hint="eastAsia"/>
                <w:b/>
                <w:bCs/>
                <w:noProof w:val="0"/>
                <w:sz w:val="26"/>
                <w:szCs w:val="26"/>
                <w:rtl/>
              </w:rPr>
              <w:t>עו</w:t>
            </w:r>
            <w:r w:rsidRPr="008B0FB2">
              <w:rPr>
                <w:b/>
                <w:bCs/>
                <w:noProof w:val="0"/>
                <w:sz w:val="26"/>
                <w:szCs w:val="26"/>
                <w:rtl/>
              </w:rPr>
              <w:t xml:space="preserve">"ד </w:t>
            </w:r>
            <w:r w:rsidRPr="008B0FB2">
              <w:rPr>
                <w:rFonts w:hint="eastAsia"/>
                <w:b/>
                <w:bCs/>
                <w:noProof w:val="0"/>
                <w:sz w:val="26"/>
                <w:szCs w:val="26"/>
                <w:rtl/>
              </w:rPr>
              <w:t>לוזון</w:t>
            </w:r>
          </w:p>
        </w:tc>
      </w:tr>
    </w:tbl>
    <w:p w:rsidR="008B0FB2" w:rsidRPr="00F85C16" w:rsidRDefault="008B0FB2" w:rsidP="008B0FB2">
      <w:pPr>
        <w:rPr>
          <w:b/>
          <w:bCs/>
          <w:sz w:val="26"/>
          <w:szCs w:val="26"/>
        </w:rPr>
      </w:pPr>
    </w:p>
    <w:p w:rsidR="008B0FB2" w:rsidRDefault="008B0FB2" w:rsidP="008B0FB2"/>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8B0FB2" w:rsidTr="00F85C16">
        <w:trPr>
          <w:jc w:val="center"/>
        </w:trPr>
        <w:tc>
          <w:tcPr>
            <w:tcW w:w="8820" w:type="dxa"/>
          </w:tcPr>
          <w:p w:rsidR="008B0FB2" w:rsidRDefault="008B0FB2" w:rsidP="00F85C16">
            <w:pPr>
              <w:bidi w:val="0"/>
              <w:jc w:val="center"/>
              <w:rPr>
                <w:rFonts w:ascii="Arial" w:hAnsi="Arial"/>
                <w:b/>
                <w:bCs/>
                <w:noProof w:val="0"/>
                <w:sz w:val="26"/>
                <w:szCs w:val="26"/>
              </w:rPr>
            </w:pPr>
          </w:p>
          <w:p w:rsidR="008B0FB2" w:rsidRDefault="008B0FB2" w:rsidP="00F85C16">
            <w:pPr>
              <w:bidi w:val="0"/>
              <w:jc w:val="center"/>
              <w:rPr>
                <w:rFonts w:ascii="Arial" w:hAnsi="Arial"/>
                <w:b/>
                <w:bCs/>
                <w:noProof w:val="0"/>
                <w:sz w:val="26"/>
                <w:szCs w:val="26"/>
                <w:u w:val="single"/>
              </w:rPr>
            </w:pPr>
          </w:p>
          <w:p w:rsidR="008B0FB2" w:rsidRDefault="008B0FB2" w:rsidP="00F85C16">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tc>
      </w:tr>
    </w:tbl>
    <w:p w:rsidR="008B0FB2" w:rsidRDefault="008B0FB2" w:rsidP="008B0FB2">
      <w:pPr>
        <w:spacing w:line="360" w:lineRule="auto"/>
        <w:jc w:val="both"/>
        <w:rPr>
          <w:rFonts w:ascii="Arial" w:hAnsi="Arial"/>
          <w:noProof w:val="0"/>
          <w:rtl/>
        </w:rPr>
      </w:pPr>
    </w:p>
    <w:p w:rsidR="008B0FB2" w:rsidRDefault="008B0FB2" w:rsidP="008B0FB2">
      <w:pPr>
        <w:spacing w:line="360" w:lineRule="auto"/>
        <w:jc w:val="both"/>
        <w:rPr>
          <w:rFonts w:ascii="Arial" w:hAnsi="Arial"/>
          <w:noProof w:val="0"/>
          <w:rtl/>
        </w:rPr>
      </w:pPr>
    </w:p>
    <w:p w:rsidR="008B0FB2" w:rsidRDefault="008B0FB2" w:rsidP="008B0FB2">
      <w:pPr>
        <w:pStyle w:val="aa"/>
        <w:numPr>
          <w:ilvl w:val="3"/>
          <w:numId w:val="1"/>
        </w:numPr>
        <w:spacing w:line="360" w:lineRule="auto"/>
        <w:jc w:val="both"/>
        <w:rPr>
          <w:rFonts w:ascii="David" w:hAnsi="David"/>
          <w:b/>
          <w:bCs/>
          <w:rtl/>
        </w:rPr>
      </w:pPr>
      <w:r>
        <w:rPr>
          <w:rFonts w:ascii="David" w:hAnsi="David"/>
          <w:b/>
          <w:bCs/>
          <w:rtl/>
        </w:rPr>
        <w:t>פסק דין זה עניינו תביעה כספית שהגישה התובעת נגד הנתבע בסך של 369,335 ₪. המחלוקת נסובה סביב השאלה האם מדובר בכספים אשר מהווים הלוואה שניתנה מהתובעת לנתבע או שמא מדובר במתנה.</w:t>
      </w:r>
    </w:p>
    <w:p w:rsidR="008B0FB2" w:rsidRDefault="008B0FB2" w:rsidP="008B0FB2">
      <w:pPr>
        <w:spacing w:line="360" w:lineRule="auto"/>
        <w:jc w:val="both"/>
        <w:rPr>
          <w:rFonts w:ascii="David" w:hAnsi="David"/>
          <w:b/>
          <w:bCs/>
          <w:rtl/>
        </w:rPr>
      </w:pPr>
    </w:p>
    <w:p w:rsidR="008B0FB2" w:rsidRDefault="008B0FB2" w:rsidP="008B0FB2">
      <w:pPr>
        <w:pStyle w:val="aa"/>
        <w:numPr>
          <w:ilvl w:val="0"/>
          <w:numId w:val="2"/>
        </w:numPr>
        <w:spacing w:line="360" w:lineRule="auto"/>
        <w:ind w:left="567" w:hanging="567"/>
        <w:jc w:val="both"/>
        <w:rPr>
          <w:rFonts w:ascii="David" w:hAnsi="David"/>
          <w:b/>
          <w:bCs/>
          <w:sz w:val="28"/>
          <w:szCs w:val="28"/>
          <w:u w:val="single"/>
          <w:rtl/>
        </w:rPr>
      </w:pPr>
      <w:r>
        <w:rPr>
          <w:rFonts w:ascii="David" w:hAnsi="David"/>
          <w:b/>
          <w:bCs/>
          <w:sz w:val="28"/>
          <w:szCs w:val="28"/>
          <w:u w:val="single"/>
          <w:rtl/>
        </w:rPr>
        <w:t>רקע עובדתי וההליכים המשפטיים</w:t>
      </w:r>
    </w:p>
    <w:p w:rsidR="008B0FB2" w:rsidRDefault="008B0FB2" w:rsidP="008B0FB2">
      <w:pPr>
        <w:pStyle w:val="aa"/>
        <w:spacing w:line="360" w:lineRule="auto"/>
        <w:ind w:left="567"/>
        <w:jc w:val="both"/>
        <w:rPr>
          <w:rFonts w:ascii="David" w:hAnsi="David"/>
          <w:b/>
          <w:bCs/>
          <w:sz w:val="28"/>
          <w:szCs w:val="28"/>
          <w:u w:val="single"/>
        </w:rPr>
      </w:pPr>
    </w:p>
    <w:p w:rsidR="008B0FB2" w:rsidRDefault="008B0FB2" w:rsidP="008B0FB2">
      <w:pPr>
        <w:pStyle w:val="aa"/>
        <w:numPr>
          <w:ilvl w:val="3"/>
          <w:numId w:val="1"/>
        </w:numPr>
        <w:spacing w:line="360" w:lineRule="auto"/>
        <w:jc w:val="both"/>
        <w:rPr>
          <w:rFonts w:ascii="David" w:hAnsi="David"/>
          <w:b/>
          <w:bCs/>
          <w:u w:val="single"/>
        </w:rPr>
      </w:pPr>
      <w:r>
        <w:rPr>
          <w:rFonts w:ascii="David" w:hAnsi="David"/>
          <w:rtl/>
        </w:rPr>
        <w:t>התובעת (להלן: "</w:t>
      </w:r>
      <w:r>
        <w:rPr>
          <w:rFonts w:ascii="David" w:hAnsi="David"/>
          <w:b/>
          <w:bCs/>
          <w:rtl/>
        </w:rPr>
        <w:t>התובעת</w:t>
      </w:r>
      <w:r>
        <w:rPr>
          <w:rFonts w:ascii="David" w:hAnsi="David"/>
          <w:rtl/>
        </w:rPr>
        <w:t>" ו/או "</w:t>
      </w:r>
      <w:r>
        <w:rPr>
          <w:rFonts w:ascii="David" w:hAnsi="David"/>
          <w:b/>
          <w:bCs/>
          <w:rtl/>
        </w:rPr>
        <w:t>האם</w:t>
      </w:r>
      <w:r>
        <w:rPr>
          <w:rFonts w:ascii="David" w:hAnsi="David"/>
          <w:rtl/>
        </w:rPr>
        <w:t>") היא אמה של בת זוגו לשעבר של הנתבע (להלן: "</w:t>
      </w:r>
      <w:r>
        <w:rPr>
          <w:rFonts w:ascii="David" w:hAnsi="David"/>
          <w:b/>
          <w:bCs/>
          <w:rtl/>
        </w:rPr>
        <w:t>הנתבע</w:t>
      </w:r>
      <w:r>
        <w:rPr>
          <w:rFonts w:ascii="David" w:hAnsi="David"/>
          <w:rtl/>
        </w:rPr>
        <w:t xml:space="preserve">"). הנתבע היה בן זוגה של בתה של התובעת, הגב' </w:t>
      </w:r>
      <w:r>
        <w:rPr>
          <w:rFonts w:ascii="David" w:hAnsi="David" w:hint="cs"/>
          <w:rtl/>
        </w:rPr>
        <w:t>****</w:t>
      </w:r>
      <w:r>
        <w:rPr>
          <w:rFonts w:ascii="David" w:hAnsi="David"/>
          <w:rtl/>
        </w:rPr>
        <w:t xml:space="preserve"> (להלן: "</w:t>
      </w:r>
      <w:r>
        <w:rPr>
          <w:rFonts w:ascii="David" w:hAnsi="David"/>
          <w:b/>
          <w:bCs/>
          <w:rtl/>
        </w:rPr>
        <w:t>הבת</w:t>
      </w:r>
      <w:r>
        <w:rPr>
          <w:rFonts w:ascii="David" w:hAnsi="David"/>
          <w:rtl/>
        </w:rPr>
        <w:t>"), במשך 10 שנים, משנת 2009 ועד למועד הפרידה ביניהם בשנת 2019.</w:t>
      </w:r>
    </w:p>
    <w:p w:rsidR="008B0FB2" w:rsidRDefault="008B0FB2" w:rsidP="008B0FB2">
      <w:pPr>
        <w:pStyle w:val="aa"/>
        <w:spacing w:line="360" w:lineRule="auto"/>
        <w:ind w:left="567"/>
        <w:jc w:val="both"/>
        <w:rPr>
          <w:rFonts w:ascii="David" w:hAnsi="David"/>
          <w:b/>
          <w:bCs/>
          <w:u w:val="single"/>
        </w:rPr>
      </w:pPr>
    </w:p>
    <w:p w:rsidR="008B0FB2" w:rsidRDefault="008B0FB2" w:rsidP="008B0FB2">
      <w:pPr>
        <w:pStyle w:val="aa"/>
        <w:numPr>
          <w:ilvl w:val="3"/>
          <w:numId w:val="1"/>
        </w:numPr>
        <w:spacing w:line="360" w:lineRule="auto"/>
        <w:jc w:val="both"/>
        <w:rPr>
          <w:rFonts w:ascii="David" w:hAnsi="David"/>
          <w:b/>
          <w:bCs/>
          <w:u w:val="single"/>
        </w:rPr>
      </w:pPr>
      <w:r>
        <w:rPr>
          <w:rFonts w:ascii="David" w:hAnsi="David"/>
          <w:b/>
          <w:bCs/>
          <w:rtl/>
        </w:rPr>
        <w:t>ביום 14.5.2013</w:t>
      </w:r>
      <w:r>
        <w:rPr>
          <w:rFonts w:ascii="David" w:hAnsi="David"/>
          <w:rtl/>
        </w:rPr>
        <w:t xml:space="preserve"> הועבר סך של 200,000 ₪ מחשבון הבנק של האם, לחשבון הבנק של הנתבע, באמצעות שיק בנקאי (להלן: "</w:t>
      </w:r>
      <w:r>
        <w:rPr>
          <w:rFonts w:ascii="David" w:hAnsi="David"/>
          <w:b/>
          <w:bCs/>
          <w:rtl/>
        </w:rPr>
        <w:t>ההעברה מצד האם</w:t>
      </w:r>
      <w:r>
        <w:rPr>
          <w:rFonts w:ascii="David" w:hAnsi="David"/>
          <w:rtl/>
        </w:rPr>
        <w:t>"). על כך אין מחלוקת בין הצדדים (צורף וסומן כנספח 1 לכתב התביעה).</w:t>
      </w:r>
    </w:p>
    <w:p w:rsidR="008B0FB2" w:rsidRDefault="008B0FB2" w:rsidP="008B0FB2">
      <w:pPr>
        <w:pStyle w:val="aa"/>
        <w:spacing w:line="360" w:lineRule="auto"/>
        <w:ind w:left="567"/>
        <w:jc w:val="both"/>
        <w:rPr>
          <w:rFonts w:ascii="David" w:hAnsi="David"/>
          <w:b/>
          <w:bCs/>
          <w:u w:val="single"/>
        </w:rPr>
      </w:pPr>
    </w:p>
    <w:p w:rsidR="008B0FB2" w:rsidRPr="00F85C16" w:rsidRDefault="008B0FB2" w:rsidP="008B0FB2">
      <w:pPr>
        <w:pStyle w:val="aa"/>
        <w:numPr>
          <w:ilvl w:val="3"/>
          <w:numId w:val="1"/>
        </w:numPr>
        <w:spacing w:line="360" w:lineRule="auto"/>
        <w:jc w:val="both"/>
        <w:rPr>
          <w:rFonts w:ascii="David" w:hAnsi="David"/>
          <w:b/>
          <w:bCs/>
          <w:u w:val="single"/>
        </w:rPr>
      </w:pPr>
      <w:r w:rsidRPr="00F85C16">
        <w:rPr>
          <w:rFonts w:ascii="David" w:hAnsi="David"/>
          <w:b/>
          <w:bCs/>
          <w:rtl/>
        </w:rPr>
        <w:t>ביום 3.6.2018</w:t>
      </w:r>
      <w:r w:rsidRPr="00F85C16">
        <w:rPr>
          <w:rFonts w:ascii="David" w:hAnsi="David"/>
          <w:rtl/>
        </w:rPr>
        <w:t xml:space="preserve"> הנתבע העביר לחשבון הבנק של האם, באמצעות העברה בנקאית, סך של 50,000 ₪ (צורף וסומן כנספח 2 לכתב התביעה) (להלן: "</w:t>
      </w:r>
      <w:r w:rsidRPr="00F85C16">
        <w:rPr>
          <w:rFonts w:ascii="David" w:hAnsi="David"/>
          <w:b/>
          <w:bCs/>
          <w:rtl/>
        </w:rPr>
        <w:t>ההעברה הראשונה מצד הנתבע</w:t>
      </w:r>
      <w:r w:rsidRPr="00F85C16">
        <w:rPr>
          <w:rFonts w:ascii="David" w:hAnsi="David"/>
          <w:rtl/>
        </w:rPr>
        <w:t>"). להעברה זו צורפה ההערה "</w:t>
      </w:r>
      <w:r w:rsidRPr="00F85C16">
        <w:rPr>
          <w:rFonts w:ascii="David" w:hAnsi="David"/>
          <w:b/>
          <w:bCs/>
          <w:rtl/>
        </w:rPr>
        <w:t>חלק מהחזר הלוואה שקבלתי</w:t>
      </w:r>
      <w:r w:rsidRPr="00F85C16">
        <w:rPr>
          <w:rFonts w:ascii="David" w:hAnsi="David"/>
          <w:rtl/>
        </w:rPr>
        <w:t>", כדלקמן:</w:t>
      </w:r>
    </w:p>
    <w:p w:rsidR="008B0FB2" w:rsidRDefault="008B0FB2" w:rsidP="008B0FB2">
      <w:pPr>
        <w:pStyle w:val="aa"/>
        <w:spacing w:line="360" w:lineRule="auto"/>
        <w:ind w:left="567"/>
        <w:jc w:val="both"/>
        <w:rPr>
          <w:rFonts w:ascii="David" w:hAnsi="David"/>
          <w:b/>
          <w:bCs/>
          <w:u w:val="single"/>
        </w:rPr>
      </w:pPr>
    </w:p>
    <w:p w:rsidR="008B0FB2" w:rsidRDefault="008B0FB2" w:rsidP="008B0FB2">
      <w:pPr>
        <w:pStyle w:val="aa"/>
        <w:spacing w:line="360" w:lineRule="auto"/>
        <w:rPr>
          <w:rFonts w:ascii="David" w:hAnsi="David"/>
          <w:b/>
          <w:bCs/>
          <w:u w:val="single"/>
        </w:rPr>
      </w:pPr>
      <w:r>
        <w:rPr>
          <w:rFonts w:ascii="David" w:hAnsi="David"/>
          <w:b/>
          <w:bCs/>
          <w:u w:val="single"/>
        </w:rPr>
        <w:lastRenderedPageBreak/>
        <w:drawing>
          <wp:inline distT="0" distB="0" distL="0" distR="0" wp14:anchorId="12CB6FFA" wp14:editId="2193943A">
            <wp:extent cx="3602990" cy="2163445"/>
            <wp:effectExtent l="0" t="0" r="0" b="8255"/>
            <wp:docPr id="6" name="תמונה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02990" cy="2163445"/>
                    </a:xfrm>
                    <a:prstGeom prst="rect">
                      <a:avLst/>
                    </a:prstGeom>
                    <a:noFill/>
                    <a:ln>
                      <a:noFill/>
                    </a:ln>
                  </pic:spPr>
                </pic:pic>
              </a:graphicData>
            </a:graphic>
          </wp:inline>
        </w:drawing>
      </w:r>
    </w:p>
    <w:p w:rsidR="008B0FB2" w:rsidRDefault="008B0FB2" w:rsidP="008B0FB2">
      <w:pPr>
        <w:pStyle w:val="aa"/>
        <w:spacing w:line="360" w:lineRule="auto"/>
        <w:rPr>
          <w:rFonts w:ascii="David" w:hAnsi="David"/>
          <w:b/>
          <w:bCs/>
          <w:u w:val="single"/>
          <w:rtl/>
        </w:rPr>
      </w:pPr>
    </w:p>
    <w:p w:rsidR="008B0FB2" w:rsidRPr="008B0FB2" w:rsidRDefault="008B0FB2" w:rsidP="008B0FB2">
      <w:pPr>
        <w:pStyle w:val="aa"/>
        <w:numPr>
          <w:ilvl w:val="3"/>
          <w:numId w:val="1"/>
        </w:numPr>
        <w:spacing w:line="360" w:lineRule="auto"/>
        <w:jc w:val="both"/>
        <w:rPr>
          <w:rFonts w:ascii="David" w:hAnsi="David"/>
          <w:b/>
          <w:bCs/>
          <w:u w:val="single"/>
          <w:rtl/>
        </w:rPr>
      </w:pPr>
      <w:r w:rsidRPr="008B0FB2">
        <w:rPr>
          <w:rFonts w:ascii="David" w:hAnsi="David"/>
          <w:b/>
          <w:bCs/>
          <w:rtl/>
        </w:rPr>
        <w:t>ביום 4.6.2018</w:t>
      </w:r>
      <w:r w:rsidRPr="008B0FB2">
        <w:rPr>
          <w:rFonts w:ascii="David" w:hAnsi="David"/>
          <w:rtl/>
        </w:rPr>
        <w:t xml:space="preserve"> הנתבע העביר לחשבון הבנק של האם, באמצעות העברה בנקאית, סך של 25,000 ₪ (צורף וסומן כנספח 2 לכתב התביעה) (להלן: "</w:t>
      </w:r>
      <w:r w:rsidRPr="008B0FB2">
        <w:rPr>
          <w:rFonts w:ascii="David" w:hAnsi="David"/>
          <w:b/>
          <w:bCs/>
          <w:rtl/>
        </w:rPr>
        <w:t>ההעברה השנייה מצד הנתבע</w:t>
      </w:r>
      <w:r w:rsidRPr="008B0FB2">
        <w:rPr>
          <w:rFonts w:ascii="David" w:hAnsi="David"/>
          <w:rtl/>
        </w:rPr>
        <w:t>"). להעברה זו צורפה ההערה "</w:t>
      </w:r>
      <w:r w:rsidRPr="008B0FB2">
        <w:rPr>
          <w:rFonts w:ascii="David" w:hAnsi="David"/>
          <w:b/>
          <w:bCs/>
          <w:rtl/>
        </w:rPr>
        <w:t>חלק נוסף מהחזר הלוואה</w:t>
      </w:r>
      <w:r w:rsidRPr="008B0FB2">
        <w:rPr>
          <w:rFonts w:ascii="David" w:hAnsi="David"/>
          <w:rtl/>
        </w:rPr>
        <w:t>", כדלקמן:</w:t>
      </w:r>
    </w:p>
    <w:p w:rsidR="008B0FB2" w:rsidRDefault="008B0FB2" w:rsidP="008B0FB2">
      <w:pPr>
        <w:pStyle w:val="aa"/>
        <w:spacing w:line="360" w:lineRule="auto"/>
        <w:ind w:left="567"/>
        <w:jc w:val="both"/>
        <w:rPr>
          <w:rFonts w:ascii="David" w:hAnsi="David"/>
          <w:b/>
          <w:bCs/>
          <w:u w:val="single"/>
        </w:rPr>
      </w:pPr>
      <w:r>
        <w:rPr>
          <w:rFonts w:ascii="David" w:hAnsi="David"/>
          <w:b/>
          <w:bCs/>
          <w:u w:val="single"/>
        </w:rPr>
        <w:drawing>
          <wp:inline distT="0" distB="0" distL="0" distR="0" wp14:anchorId="7ECDEC21" wp14:editId="3CE89CA8">
            <wp:extent cx="3350260" cy="2094865"/>
            <wp:effectExtent l="0" t="0" r="2540" b="635"/>
            <wp:docPr id="7" name="תמונה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50260" cy="2094865"/>
                    </a:xfrm>
                    <a:prstGeom prst="rect">
                      <a:avLst/>
                    </a:prstGeom>
                    <a:noFill/>
                    <a:ln>
                      <a:noFill/>
                    </a:ln>
                  </pic:spPr>
                </pic:pic>
              </a:graphicData>
            </a:graphic>
          </wp:inline>
        </w:drawing>
      </w:r>
    </w:p>
    <w:p w:rsidR="008B0FB2" w:rsidRDefault="008B0FB2" w:rsidP="008B0FB2">
      <w:pPr>
        <w:spacing w:line="360" w:lineRule="auto"/>
        <w:jc w:val="both"/>
        <w:rPr>
          <w:rFonts w:ascii="David" w:hAnsi="David"/>
          <w:b/>
          <w:bCs/>
          <w:u w:val="single"/>
          <w:rtl/>
        </w:rPr>
      </w:pPr>
    </w:p>
    <w:p w:rsidR="008B0FB2" w:rsidRDefault="008B0FB2" w:rsidP="008B0FB2">
      <w:pPr>
        <w:pStyle w:val="aa"/>
        <w:numPr>
          <w:ilvl w:val="3"/>
          <w:numId w:val="1"/>
        </w:numPr>
        <w:spacing w:line="360" w:lineRule="auto"/>
        <w:jc w:val="both"/>
        <w:rPr>
          <w:rFonts w:ascii="David" w:hAnsi="David"/>
          <w:b/>
          <w:bCs/>
          <w:u w:val="single"/>
        </w:rPr>
      </w:pPr>
      <w:r>
        <w:rPr>
          <w:rFonts w:ascii="David" w:hAnsi="David"/>
          <w:rtl/>
        </w:rPr>
        <w:t xml:space="preserve">ביום 7.2.2021 נשלח לנתבע מכתב התראה מטעם התובעת, ע"י עו"ד </w:t>
      </w:r>
      <w:r>
        <w:rPr>
          <w:rFonts w:ascii="David" w:hAnsi="David" w:hint="cs"/>
          <w:rtl/>
        </w:rPr>
        <w:t>----</w:t>
      </w:r>
      <w:r>
        <w:rPr>
          <w:rFonts w:ascii="David" w:hAnsi="David"/>
          <w:rtl/>
        </w:rPr>
        <w:t>, בבקשה לקבל בחזרה, את היתרה, בסך של 125,000 ₪ (צורף וסומן כנספח 3 לכתב התביעה). למכתב זה לא התקבל מענה מצד הנתבע.</w:t>
      </w:r>
    </w:p>
    <w:p w:rsidR="008B0FB2" w:rsidRDefault="008B0FB2" w:rsidP="008B0FB2">
      <w:pPr>
        <w:pStyle w:val="aa"/>
        <w:spacing w:line="360" w:lineRule="auto"/>
        <w:ind w:left="567"/>
        <w:jc w:val="both"/>
        <w:rPr>
          <w:rFonts w:ascii="David" w:hAnsi="David"/>
          <w:b/>
          <w:bCs/>
          <w:u w:val="single"/>
        </w:rPr>
      </w:pPr>
    </w:p>
    <w:p w:rsidR="008B0FB2" w:rsidRDefault="008B0FB2" w:rsidP="008B0FB2">
      <w:pPr>
        <w:pStyle w:val="aa"/>
        <w:numPr>
          <w:ilvl w:val="3"/>
          <w:numId w:val="1"/>
        </w:numPr>
        <w:spacing w:line="360" w:lineRule="auto"/>
        <w:jc w:val="both"/>
        <w:rPr>
          <w:rFonts w:ascii="David" w:hAnsi="David"/>
          <w:u w:val="single"/>
        </w:rPr>
      </w:pPr>
      <w:r>
        <w:rPr>
          <w:rFonts w:ascii="David" w:hAnsi="David"/>
          <w:rtl/>
        </w:rPr>
        <w:t xml:space="preserve">ביום 1.8.2021 הוגשה התביעה דנן בסך של 369,335 ₪ עבור החזר ההלוואה, קרן בתוספת ריבית והצמדה. </w:t>
      </w:r>
    </w:p>
    <w:p w:rsidR="008B0FB2" w:rsidRDefault="008B0FB2" w:rsidP="008B0FB2">
      <w:pPr>
        <w:pStyle w:val="aa"/>
        <w:rPr>
          <w:rFonts w:ascii="David" w:hAnsi="David"/>
          <w:u w:val="single"/>
        </w:rPr>
      </w:pPr>
    </w:p>
    <w:p w:rsidR="008B0FB2" w:rsidRDefault="008B0FB2" w:rsidP="008B0FB2">
      <w:pPr>
        <w:pStyle w:val="aa"/>
        <w:numPr>
          <w:ilvl w:val="3"/>
          <w:numId w:val="1"/>
        </w:numPr>
        <w:spacing w:line="360" w:lineRule="auto"/>
        <w:jc w:val="both"/>
        <w:rPr>
          <w:rFonts w:ascii="David" w:hAnsi="David"/>
          <w:rtl/>
        </w:rPr>
      </w:pPr>
      <w:r>
        <w:rPr>
          <w:rFonts w:ascii="David" w:hAnsi="David"/>
          <w:rtl/>
        </w:rPr>
        <w:t xml:space="preserve">הניסיונות במהלך ההליך להביא את הצדדים לידי הסכמה לא צלחו ועל כן ההליך התקיים כסדרו. </w:t>
      </w:r>
    </w:p>
    <w:p w:rsidR="008B0FB2" w:rsidRDefault="008B0FB2" w:rsidP="008B0FB2">
      <w:pPr>
        <w:pStyle w:val="aa"/>
        <w:spacing w:line="360" w:lineRule="auto"/>
        <w:ind w:left="567"/>
        <w:jc w:val="both"/>
        <w:rPr>
          <w:rFonts w:ascii="David" w:hAnsi="David"/>
          <w:b/>
          <w:bCs/>
          <w:u w:val="single"/>
        </w:rPr>
      </w:pPr>
    </w:p>
    <w:p w:rsidR="008B0FB2" w:rsidRDefault="008B0FB2" w:rsidP="008B0FB2">
      <w:pPr>
        <w:pStyle w:val="aa"/>
        <w:numPr>
          <w:ilvl w:val="3"/>
          <w:numId w:val="1"/>
        </w:numPr>
        <w:spacing w:line="360" w:lineRule="auto"/>
        <w:jc w:val="both"/>
        <w:rPr>
          <w:rFonts w:ascii="David" w:hAnsi="David"/>
          <w:b/>
          <w:bCs/>
          <w:u w:val="single"/>
        </w:rPr>
      </w:pPr>
      <w:r>
        <w:rPr>
          <w:rFonts w:ascii="David" w:hAnsi="David"/>
          <w:rtl/>
        </w:rPr>
        <w:lastRenderedPageBreak/>
        <w:t>במסגרת ההליך התנהלו בפניי 2 דיונים – דיון קד"מ ודיון הוכחות אחד. הוגשו סיכומים בכתב ע"י הצדדים. בהתאם לכך ניתן כעת פסק הדין.</w:t>
      </w:r>
    </w:p>
    <w:p w:rsidR="008B0FB2" w:rsidRDefault="008B0FB2" w:rsidP="008B0FB2">
      <w:pPr>
        <w:pStyle w:val="aa"/>
        <w:spacing w:line="360" w:lineRule="auto"/>
        <w:rPr>
          <w:rFonts w:ascii="David" w:hAnsi="David"/>
          <w:b/>
          <w:bCs/>
          <w:u w:val="single"/>
        </w:rPr>
      </w:pPr>
    </w:p>
    <w:p w:rsidR="008B0FB2" w:rsidRDefault="008B0FB2" w:rsidP="008B0FB2">
      <w:pPr>
        <w:pStyle w:val="aa"/>
        <w:spacing w:line="360" w:lineRule="auto"/>
        <w:ind w:left="567"/>
        <w:jc w:val="both"/>
        <w:rPr>
          <w:rFonts w:ascii="David" w:hAnsi="David"/>
          <w:b/>
          <w:bCs/>
          <w:u w:val="single"/>
        </w:rPr>
      </w:pPr>
    </w:p>
    <w:p w:rsidR="008B0FB2" w:rsidRDefault="008B0FB2" w:rsidP="008B0FB2">
      <w:pPr>
        <w:pStyle w:val="aa"/>
        <w:numPr>
          <w:ilvl w:val="0"/>
          <w:numId w:val="2"/>
        </w:numPr>
        <w:spacing w:line="360" w:lineRule="auto"/>
        <w:ind w:left="567" w:hanging="567"/>
        <w:jc w:val="both"/>
        <w:rPr>
          <w:rFonts w:ascii="David" w:hAnsi="David"/>
          <w:b/>
          <w:bCs/>
          <w:sz w:val="28"/>
          <w:szCs w:val="28"/>
          <w:u w:val="single"/>
        </w:rPr>
      </w:pPr>
      <w:r>
        <w:rPr>
          <w:rFonts w:ascii="David" w:hAnsi="David"/>
          <w:b/>
          <w:bCs/>
          <w:sz w:val="28"/>
          <w:szCs w:val="28"/>
          <w:u w:val="single"/>
          <w:rtl/>
        </w:rPr>
        <w:t>תמצית טענות הצדדים</w:t>
      </w:r>
    </w:p>
    <w:p w:rsidR="008B0FB2" w:rsidRDefault="008B0FB2" w:rsidP="008B0FB2">
      <w:pPr>
        <w:spacing w:line="360" w:lineRule="auto"/>
        <w:jc w:val="both"/>
        <w:rPr>
          <w:rFonts w:ascii="David" w:hAnsi="David"/>
          <w:b/>
          <w:bCs/>
          <w:u w:val="single"/>
          <w:rtl/>
        </w:rPr>
      </w:pPr>
    </w:p>
    <w:p w:rsidR="008B0FB2" w:rsidRDefault="008B0FB2" w:rsidP="008B0FB2">
      <w:pPr>
        <w:spacing w:line="360" w:lineRule="auto"/>
        <w:jc w:val="both"/>
        <w:rPr>
          <w:rFonts w:ascii="David" w:hAnsi="David"/>
          <w:b/>
          <w:bCs/>
          <w:u w:val="single"/>
        </w:rPr>
      </w:pPr>
      <w:r>
        <w:rPr>
          <w:rFonts w:ascii="David" w:hAnsi="David"/>
          <w:b/>
          <w:bCs/>
          <w:u w:val="single"/>
          <w:rtl/>
        </w:rPr>
        <w:t>טענות התובעת</w:t>
      </w:r>
    </w:p>
    <w:p w:rsidR="008B0FB2" w:rsidRDefault="008B0FB2" w:rsidP="008B0FB2">
      <w:pPr>
        <w:spacing w:line="360" w:lineRule="auto"/>
        <w:jc w:val="both"/>
        <w:rPr>
          <w:rFonts w:ascii="David" w:hAnsi="David"/>
          <w:b/>
          <w:bCs/>
          <w:u w:val="single"/>
          <w:rtl/>
        </w:rPr>
      </w:pPr>
    </w:p>
    <w:p w:rsidR="008B0FB2" w:rsidRDefault="008B0FB2" w:rsidP="008B0FB2">
      <w:pPr>
        <w:pStyle w:val="aa"/>
        <w:numPr>
          <w:ilvl w:val="3"/>
          <w:numId w:val="1"/>
        </w:numPr>
        <w:spacing w:line="360" w:lineRule="auto"/>
        <w:jc w:val="both"/>
      </w:pPr>
      <w:r>
        <w:rPr>
          <w:b/>
          <w:bCs/>
          <w:rtl/>
        </w:rPr>
        <w:t>התובעת</w:t>
      </w:r>
      <w:r>
        <w:rPr>
          <w:rtl/>
        </w:rPr>
        <w:t xml:space="preserve"> טוענת, כי מאחר שהצדדים חיו בהפרדה רכושית, בשנת 2013 ביקש הנתבע מהבת הלוואה בסך של 200,000 ₪ עבור כיסוי חוב לגרושתו. מאחר שלא היה לבת סכום כזה לתת לו, הפנתה אותו הבת לאם. ולפיכך, לבקשתו ממנה, ובהסתמך על הבטחתו כי יחזיר לה את מלוא הכספים בתוך שלושה חודשים בלבד, ביום 14.5.2013</w:t>
      </w:r>
      <w:r>
        <w:rPr>
          <w:rFonts w:hint="cs"/>
        </w:rPr>
        <w:t xml:space="preserve"> </w:t>
      </w:r>
      <w:r>
        <w:rPr>
          <w:rtl/>
        </w:rPr>
        <w:t>הלוותה לנתבע סך של 200,000 ₪.</w:t>
      </w:r>
    </w:p>
    <w:p w:rsidR="008B0FB2" w:rsidRDefault="008B0FB2" w:rsidP="008B0FB2">
      <w:pPr>
        <w:pStyle w:val="aa"/>
        <w:spacing w:line="360" w:lineRule="auto"/>
        <w:ind w:left="567"/>
        <w:jc w:val="both"/>
      </w:pPr>
    </w:p>
    <w:p w:rsidR="008B0FB2" w:rsidRDefault="008B0FB2" w:rsidP="008B0FB2">
      <w:pPr>
        <w:pStyle w:val="aa"/>
        <w:numPr>
          <w:ilvl w:val="3"/>
          <w:numId w:val="1"/>
        </w:numPr>
        <w:spacing w:line="360" w:lineRule="auto"/>
        <w:jc w:val="both"/>
      </w:pPr>
      <w:r>
        <w:rPr>
          <w:b/>
          <w:bCs/>
          <w:rtl/>
        </w:rPr>
        <w:t>התובעת</w:t>
      </w:r>
      <w:r>
        <w:rPr>
          <w:rtl/>
        </w:rPr>
        <w:t xml:space="preserve"> טוענת כי נתנה לנתבע את הסך של 200,000 ₪ באמצעות שיק בנקאי, אותו הפיקה לו בעצמה במיוחד בסניף הבנק שלה, וכי היא זו שמסרה לו את השיק. לטענתה, הנתבע הבטיח לה באופן אישי ובמפורש שהוא יחזיר לה את הסכום המלא תוך 3 חודשים, לכשיקבל לידו כספים שאחרים חייבים לו, אלא שאחרת יחזיר לה בתוספת ריבית.</w:t>
      </w:r>
    </w:p>
    <w:p w:rsidR="008B0FB2" w:rsidRDefault="008B0FB2" w:rsidP="008B0FB2">
      <w:pPr>
        <w:pStyle w:val="aa"/>
      </w:pPr>
    </w:p>
    <w:p w:rsidR="008B0FB2" w:rsidRDefault="008B0FB2" w:rsidP="008B0FB2">
      <w:pPr>
        <w:pStyle w:val="aa"/>
        <w:numPr>
          <w:ilvl w:val="3"/>
          <w:numId w:val="1"/>
        </w:numPr>
        <w:spacing w:line="360" w:lineRule="auto"/>
        <w:jc w:val="both"/>
        <w:rPr>
          <w:rtl/>
        </w:rPr>
      </w:pPr>
      <w:r>
        <w:rPr>
          <w:b/>
          <w:bCs/>
          <w:rtl/>
        </w:rPr>
        <w:t>התובעת</w:t>
      </w:r>
      <w:r>
        <w:rPr>
          <w:rtl/>
        </w:rPr>
        <w:t xml:space="preserve"> טוענת כי הכספים שניתנו לנתבע היו מתוך השקעה במניות שהניבו לה תשואה יפה. לטענתה, כאשר הסך הנ"ל מהווה כמעט את כל הרכוש ששייך לה בעולם, כאישה אלמנה וחולה, והריי שמדובר בכסף שהיא זקוקה לו למחייתה. התובעת הבהירה זאת לנתבע בטרם נתנה לו את הכסף, ולפיה, מתוך כלל הנסיבות לא ניתן למצוא כוונה או סיבה הגיונית לכך שהסך הנ"ל ניתן לנתבע כמתנה ולא כהלוואה. משכך, ולאור הזמן הממושך שעבר, יש להוסיף גם ריבית והצמדה.</w:t>
      </w:r>
    </w:p>
    <w:p w:rsidR="008B0FB2" w:rsidRDefault="008B0FB2" w:rsidP="008B0FB2">
      <w:pPr>
        <w:pStyle w:val="aa"/>
        <w:spacing w:line="360" w:lineRule="auto"/>
        <w:ind w:left="567"/>
        <w:jc w:val="both"/>
      </w:pPr>
    </w:p>
    <w:p w:rsidR="008B0FB2" w:rsidRDefault="008B0FB2" w:rsidP="008B0FB2">
      <w:pPr>
        <w:pStyle w:val="aa"/>
        <w:numPr>
          <w:ilvl w:val="3"/>
          <w:numId w:val="1"/>
        </w:numPr>
        <w:spacing w:line="360" w:lineRule="auto"/>
        <w:jc w:val="both"/>
      </w:pPr>
      <w:r>
        <w:rPr>
          <w:b/>
          <w:bCs/>
          <w:rtl/>
        </w:rPr>
        <w:t>התובעת</w:t>
      </w:r>
      <w:r>
        <w:rPr>
          <w:rtl/>
        </w:rPr>
        <w:t xml:space="preserve"> טוענת כי היא דרשה מהנתבע מספר פעמים, לאורך השנים, את השבת הכספים, וניסיונותיה הרבים לא נחלו הצלחה. לטענתה, בהתחלה היא ויתרה לו והסכימה לתת לו ארכה להשבת הכספים, מאחר שסמכה עליו וידעה שהוא הבטיח שאם יחזיר לה את הכספים לאחר תקופה ארוכה יותר משלושה חודשים, יעשה כן בתוספת ריבית. כמו כן, היא הוסיפה כי בכל פעם קיבלה מהנתבע תשובה אחרת, שהוא מחכה לקבל כספים ממקורות שונים כדי להחזיר לה. התובעת מציינת כי לאחר הפעלת לחצים רבים, הנתבע העביר לה סך של 75,000 ₪ בתאריכים 3-4.6.2018, וציין במפורש כי המדובר ב"</w:t>
      </w:r>
      <w:r>
        <w:rPr>
          <w:rFonts w:ascii="David" w:hAnsi="David"/>
          <w:rtl/>
        </w:rPr>
        <w:t>חלק מהחזר הלוואה שקבלתי" וכן "חלק נוסף מהחזר הלוואה".</w:t>
      </w:r>
      <w:r>
        <w:rPr>
          <w:rtl/>
        </w:rPr>
        <w:t xml:space="preserve"> משכך, עולה כי היה ברור לנתבע שמדובר בהלוואה, ואין הוא יכול כעת להתכחש לכך.</w:t>
      </w:r>
    </w:p>
    <w:p w:rsidR="008B0FB2" w:rsidRDefault="008B0FB2" w:rsidP="008B0FB2">
      <w:pPr>
        <w:pStyle w:val="aa"/>
        <w:spacing w:line="360" w:lineRule="auto"/>
        <w:ind w:left="567"/>
        <w:jc w:val="both"/>
      </w:pPr>
    </w:p>
    <w:p w:rsidR="008B0FB2" w:rsidRDefault="008B0FB2" w:rsidP="008B0FB2">
      <w:pPr>
        <w:pStyle w:val="aa"/>
        <w:numPr>
          <w:ilvl w:val="3"/>
          <w:numId w:val="1"/>
        </w:numPr>
        <w:spacing w:line="360" w:lineRule="auto"/>
        <w:jc w:val="both"/>
        <w:rPr>
          <w:rFonts w:ascii="David" w:hAnsi="David"/>
          <w:b/>
          <w:bCs/>
          <w:u w:val="single"/>
        </w:rPr>
      </w:pPr>
      <w:r>
        <w:rPr>
          <w:b/>
          <w:bCs/>
          <w:rtl/>
        </w:rPr>
        <w:lastRenderedPageBreak/>
        <w:t>לטענת</w:t>
      </w:r>
      <w:r>
        <w:rPr>
          <w:rtl/>
        </w:rPr>
        <w:t xml:space="preserve"> </w:t>
      </w:r>
      <w:r>
        <w:rPr>
          <w:b/>
          <w:bCs/>
          <w:rtl/>
        </w:rPr>
        <w:t>התובעת</w:t>
      </w:r>
      <w:r>
        <w:rPr>
          <w:rtl/>
        </w:rPr>
        <w:t xml:space="preserve">, יש לחייב את הנתבע לשלם את את סכומי הקרן (125,000 ₪) בתוספת ריבית מקסימלית של 16.26% על כל התקופה שלא הוחזרו הכספים, וכן הצמדה על יתרת הקרן מיום 5.6.2018 ועד ליום 1.7.2021, וסה"כ לחייב את הנתבע בסך של </w:t>
      </w:r>
      <w:r>
        <w:rPr>
          <w:rFonts w:ascii="David" w:hAnsi="David"/>
          <w:rtl/>
        </w:rPr>
        <w:t>369,335 ₪.</w:t>
      </w:r>
    </w:p>
    <w:p w:rsidR="008B0FB2" w:rsidRDefault="008B0FB2" w:rsidP="008B0FB2">
      <w:pPr>
        <w:pStyle w:val="aa"/>
      </w:pPr>
    </w:p>
    <w:p w:rsidR="008B0FB2" w:rsidRDefault="008B0FB2" w:rsidP="008B0FB2">
      <w:pPr>
        <w:pStyle w:val="aa"/>
        <w:spacing w:line="360" w:lineRule="auto"/>
        <w:ind w:left="567"/>
        <w:jc w:val="both"/>
        <w:rPr>
          <w:rFonts w:ascii="David" w:hAnsi="David"/>
          <w:b/>
          <w:bCs/>
          <w:u w:val="single"/>
          <w:rtl/>
        </w:rPr>
      </w:pPr>
      <w:r>
        <w:rPr>
          <w:rtl/>
        </w:rPr>
        <w:t xml:space="preserve"> </w:t>
      </w:r>
    </w:p>
    <w:p w:rsidR="008B0FB2" w:rsidRDefault="008B0FB2" w:rsidP="008B0FB2">
      <w:pPr>
        <w:spacing w:line="360" w:lineRule="auto"/>
        <w:jc w:val="both"/>
        <w:rPr>
          <w:rFonts w:ascii="David" w:hAnsi="David"/>
          <w:b/>
          <w:bCs/>
          <w:u w:val="single"/>
          <w:rtl/>
        </w:rPr>
      </w:pPr>
      <w:r>
        <w:rPr>
          <w:rFonts w:ascii="David" w:hAnsi="David"/>
          <w:b/>
          <w:bCs/>
          <w:u w:val="single"/>
          <w:rtl/>
        </w:rPr>
        <w:t>טענות הנתבע</w:t>
      </w:r>
    </w:p>
    <w:p w:rsidR="008B0FB2" w:rsidRDefault="008B0FB2" w:rsidP="008B0FB2">
      <w:pPr>
        <w:pStyle w:val="aa"/>
        <w:spacing w:line="360" w:lineRule="auto"/>
        <w:ind w:left="567"/>
        <w:jc w:val="both"/>
        <w:rPr>
          <w:rtl/>
        </w:rPr>
      </w:pPr>
    </w:p>
    <w:p w:rsidR="008B0FB2" w:rsidRDefault="008B0FB2" w:rsidP="008B0FB2">
      <w:pPr>
        <w:pStyle w:val="aa"/>
        <w:numPr>
          <w:ilvl w:val="3"/>
          <w:numId w:val="1"/>
        </w:numPr>
        <w:spacing w:line="360" w:lineRule="auto"/>
        <w:jc w:val="both"/>
      </w:pPr>
      <w:r>
        <w:rPr>
          <w:b/>
          <w:bCs/>
          <w:rtl/>
        </w:rPr>
        <w:t xml:space="preserve">הנתבע עותר לדחיית התביעה. </w:t>
      </w:r>
      <w:r>
        <w:rPr>
          <w:rtl/>
        </w:rPr>
        <w:t xml:space="preserve">לטענת הנתבע גם אם הייתה לאם עילת תביעה נגדו, הריי שהיא התיישנה. שכן, מאז שנת 2013 עת ניתנו הכספים המהווים הלוואה לכאורה, עברו יותר מ-7 שנים. כמו כן, האם לא הציגה ולו אסמכתא אחת, מלבד מכתב ההתראה שנשלח אף הוא לאחר תקופת ההתיישנות, אשר מעיד על כך שהיא ביקשה ממנו להחזיר לה את הכספים במועד כלשהו עובר לתביעה זו. </w:t>
      </w:r>
    </w:p>
    <w:p w:rsidR="008B0FB2" w:rsidRDefault="008B0FB2" w:rsidP="008B0FB2">
      <w:pPr>
        <w:pStyle w:val="aa"/>
        <w:spacing w:line="360" w:lineRule="auto"/>
        <w:ind w:left="567"/>
        <w:jc w:val="both"/>
      </w:pPr>
    </w:p>
    <w:p w:rsidR="008B0FB2" w:rsidRDefault="008B0FB2" w:rsidP="008B0FB2">
      <w:pPr>
        <w:pStyle w:val="aa"/>
        <w:numPr>
          <w:ilvl w:val="3"/>
          <w:numId w:val="1"/>
        </w:numPr>
        <w:spacing w:line="360" w:lineRule="auto"/>
        <w:jc w:val="both"/>
      </w:pPr>
      <w:r>
        <w:rPr>
          <w:b/>
          <w:bCs/>
          <w:rtl/>
        </w:rPr>
        <w:t xml:space="preserve">הנתבע </w:t>
      </w:r>
      <w:r>
        <w:rPr>
          <w:rtl/>
        </w:rPr>
        <w:t xml:space="preserve">טוען כי בית משפט זה נעדר סמכות עניינית שכן בעת הגשת התביעה, הוא והבת אינם עוד בני זוג, ולכן האם לא עונה על ההגדרה של בן משפחה בחוק. </w:t>
      </w:r>
    </w:p>
    <w:p w:rsidR="008B0FB2" w:rsidRDefault="008B0FB2" w:rsidP="008B0FB2">
      <w:pPr>
        <w:pStyle w:val="aa"/>
        <w:spacing w:line="360" w:lineRule="auto"/>
        <w:ind w:left="567"/>
        <w:jc w:val="both"/>
      </w:pPr>
    </w:p>
    <w:p w:rsidR="008B0FB2" w:rsidRDefault="008B0FB2" w:rsidP="008B0FB2">
      <w:pPr>
        <w:pStyle w:val="aa"/>
        <w:numPr>
          <w:ilvl w:val="3"/>
          <w:numId w:val="1"/>
        </w:numPr>
        <w:spacing w:line="360" w:lineRule="auto"/>
        <w:jc w:val="both"/>
      </w:pPr>
      <w:r>
        <w:rPr>
          <w:b/>
          <w:bCs/>
          <w:rtl/>
        </w:rPr>
        <w:t>הנתבע</w:t>
      </w:r>
      <w:r>
        <w:rPr>
          <w:rtl/>
        </w:rPr>
        <w:t xml:space="preserve"> טוען כי מעולם לא ביקש הלוואה לא מהאם ולא מהבת. לטענתו, הוא זה שמימן את מלוא הוצאות חיי המשפחה המשותפים שלו ושל הבת וילדיהם, ועת נקלע למשבר כלכלי ביקש מהבת לסייע לו, ולהעביר לו כספים כחלק מהשתתפותה בהוצאות החיים המשותפות. לטענתו, מדובר בסך שמהווה את תרומתה הכלכלית של הבת, באמצעות התובעת, למשק הבית המשותף.</w:t>
      </w:r>
    </w:p>
    <w:p w:rsidR="008B0FB2" w:rsidRDefault="008B0FB2" w:rsidP="008B0FB2">
      <w:pPr>
        <w:pStyle w:val="aa"/>
      </w:pPr>
    </w:p>
    <w:p w:rsidR="008B0FB2" w:rsidRDefault="008B0FB2" w:rsidP="008B0FB2">
      <w:pPr>
        <w:pStyle w:val="aa"/>
        <w:numPr>
          <w:ilvl w:val="3"/>
          <w:numId w:val="1"/>
        </w:numPr>
        <w:spacing w:line="360" w:lineRule="auto"/>
        <w:jc w:val="both"/>
        <w:rPr>
          <w:rtl/>
        </w:rPr>
      </w:pPr>
      <w:r>
        <w:rPr>
          <w:b/>
          <w:bCs/>
          <w:rtl/>
        </w:rPr>
        <w:t xml:space="preserve">הנתבע </w:t>
      </w:r>
      <w:r>
        <w:rPr>
          <w:rtl/>
        </w:rPr>
        <w:t>טוען בסעיף 48 לכתב ההגנה כי הוא קיבל את הסך של 200,000 ₪ מהאם, כאשר סוכם ביניהם שזו העברה שמהווה את חלקה של הבת בהוצאות משק הבית המשותף. בסעיפים 19 ו-31-32 לתצהירו, וכן בחקירתו, טוען הנתבע כי קיבל את הסך הנ"ל בהמחאה בנקאית מהבת, אשר הפיקה את ההמחאה בעצמה עבורו, ולא מהאם. לטענתו, הוא לא ביקש זאת מעולם מהאם, ואף לא ידע משך זמן ממושך על מעורבותה של האם בכך, או על כך שהכסף יצא מחשבון הבנק של האם ולא של הבת. לטענתו, לו היה יודע שמדובר בכסף שיוצא מכיסה של האם – לא היה מוכן לקבל אותו.</w:t>
      </w:r>
    </w:p>
    <w:p w:rsidR="008B0FB2" w:rsidRDefault="008B0FB2" w:rsidP="008B0FB2">
      <w:pPr>
        <w:pStyle w:val="aa"/>
      </w:pPr>
    </w:p>
    <w:p w:rsidR="008B0FB2" w:rsidRDefault="008B0FB2" w:rsidP="008B0FB2">
      <w:pPr>
        <w:pStyle w:val="aa"/>
        <w:numPr>
          <w:ilvl w:val="3"/>
          <w:numId w:val="1"/>
        </w:numPr>
        <w:spacing w:line="360" w:lineRule="auto"/>
        <w:jc w:val="both"/>
      </w:pPr>
      <w:r>
        <w:rPr>
          <w:b/>
          <w:bCs/>
          <w:rtl/>
        </w:rPr>
        <w:t>לטענת הנתבע</w:t>
      </w:r>
      <w:r>
        <w:rPr>
          <w:rtl/>
        </w:rPr>
        <w:t>, האם לא הצליחה להוכיח כי הכספים שניתנו לו מהווים הלוואה, ולא הצביעה ולו על ראיה אחת שתומכת בתביעתה. משכך, יש לדחותה. מעבר לכך, הנתבע טוען כי האם לא הצליחה להוכיח כי הובטח לה תשלום הריבית, ולבטח שלא ריבית בשיעור כל כך גבוה לו היא עתרה.</w:t>
      </w:r>
    </w:p>
    <w:p w:rsidR="00DA345C" w:rsidRDefault="00DA345C" w:rsidP="00DA345C">
      <w:pPr>
        <w:pStyle w:val="aa"/>
        <w:rPr>
          <w:rtl/>
        </w:rPr>
      </w:pPr>
    </w:p>
    <w:p w:rsidR="00DA345C" w:rsidRDefault="00DA345C" w:rsidP="00DA345C">
      <w:pPr>
        <w:pStyle w:val="aa"/>
        <w:spacing w:line="360" w:lineRule="auto"/>
        <w:ind w:left="2160"/>
        <w:jc w:val="both"/>
        <w:rPr>
          <w:rtl/>
        </w:rPr>
      </w:pPr>
    </w:p>
    <w:p w:rsidR="008B0FB2" w:rsidRDefault="008B0FB2" w:rsidP="008B0FB2">
      <w:pPr>
        <w:pStyle w:val="aa"/>
        <w:numPr>
          <w:ilvl w:val="0"/>
          <w:numId w:val="2"/>
        </w:numPr>
        <w:spacing w:line="360" w:lineRule="auto"/>
        <w:ind w:left="567" w:hanging="567"/>
        <w:jc w:val="both"/>
        <w:rPr>
          <w:rFonts w:ascii="David" w:hAnsi="David"/>
          <w:b/>
          <w:bCs/>
          <w:sz w:val="28"/>
          <w:szCs w:val="28"/>
          <w:u w:val="single"/>
        </w:rPr>
      </w:pPr>
      <w:r>
        <w:rPr>
          <w:rFonts w:ascii="David" w:hAnsi="David"/>
          <w:b/>
          <w:bCs/>
          <w:sz w:val="28"/>
          <w:szCs w:val="28"/>
          <w:u w:val="single"/>
          <w:rtl/>
        </w:rPr>
        <w:lastRenderedPageBreak/>
        <w:t>דיון והכרעה</w:t>
      </w:r>
    </w:p>
    <w:p w:rsidR="008B0FB2" w:rsidRDefault="008B0FB2" w:rsidP="008B0FB2">
      <w:pPr>
        <w:pStyle w:val="aa"/>
        <w:spacing w:line="360" w:lineRule="auto"/>
        <w:ind w:left="567"/>
        <w:jc w:val="both"/>
        <w:rPr>
          <w:rFonts w:ascii="David" w:hAnsi="David"/>
          <w:b/>
          <w:bCs/>
          <w:sz w:val="28"/>
          <w:szCs w:val="28"/>
          <w:u w:val="single"/>
        </w:rPr>
      </w:pPr>
    </w:p>
    <w:p w:rsidR="008B0FB2" w:rsidRDefault="008B0FB2" w:rsidP="008B0FB2">
      <w:pPr>
        <w:pStyle w:val="aa"/>
        <w:numPr>
          <w:ilvl w:val="3"/>
          <w:numId w:val="1"/>
        </w:numPr>
        <w:spacing w:line="360" w:lineRule="auto"/>
        <w:jc w:val="both"/>
        <w:rPr>
          <w:rFonts w:ascii="David" w:hAnsi="David"/>
          <w:b/>
          <w:bCs/>
        </w:rPr>
      </w:pPr>
      <w:r>
        <w:rPr>
          <w:rFonts w:ascii="David" w:hAnsi="David"/>
          <w:b/>
          <w:bCs/>
          <w:rtl/>
        </w:rPr>
        <w:t xml:space="preserve">ראשית יש לדון בשתי טענות סף של הנתבע. </w:t>
      </w:r>
    </w:p>
    <w:p w:rsidR="008B0FB2" w:rsidRDefault="008B0FB2" w:rsidP="008B0FB2">
      <w:pPr>
        <w:pStyle w:val="aa"/>
        <w:spacing w:line="360" w:lineRule="auto"/>
        <w:ind w:left="567"/>
        <w:jc w:val="both"/>
        <w:rPr>
          <w:rFonts w:ascii="David" w:hAnsi="David"/>
          <w:b/>
          <w:bCs/>
        </w:rPr>
      </w:pPr>
    </w:p>
    <w:p w:rsidR="008B0FB2" w:rsidRDefault="008B0FB2" w:rsidP="008B0FB2">
      <w:pPr>
        <w:pStyle w:val="aa"/>
        <w:numPr>
          <w:ilvl w:val="3"/>
          <w:numId w:val="1"/>
        </w:numPr>
        <w:spacing w:line="360" w:lineRule="auto"/>
        <w:jc w:val="both"/>
        <w:rPr>
          <w:rFonts w:ascii="David" w:hAnsi="David"/>
          <w:b/>
          <w:bCs/>
        </w:rPr>
      </w:pPr>
      <w:r>
        <w:rPr>
          <w:rFonts w:ascii="David" w:hAnsi="David"/>
          <w:b/>
          <w:bCs/>
          <w:u w:val="single"/>
          <w:rtl/>
        </w:rPr>
        <w:t>טענת הנתבע כי התביעה התיישנה –</w:t>
      </w:r>
      <w:r>
        <w:rPr>
          <w:rFonts w:ascii="David" w:hAnsi="David"/>
          <w:b/>
          <w:bCs/>
          <w:rtl/>
        </w:rPr>
        <w:t xml:space="preserve"> </w:t>
      </w:r>
      <w:r>
        <w:rPr>
          <w:rFonts w:ascii="David" w:hAnsi="David"/>
          <w:rtl/>
        </w:rPr>
        <w:t xml:space="preserve">לטענת </w:t>
      </w:r>
      <w:r>
        <w:rPr>
          <w:rFonts w:ascii="David" w:hAnsi="David"/>
          <w:b/>
          <w:bCs/>
          <w:rtl/>
        </w:rPr>
        <w:t>הנתבע</w:t>
      </w:r>
      <w:r>
        <w:rPr>
          <w:rFonts w:ascii="David" w:hAnsi="David"/>
          <w:rtl/>
        </w:rPr>
        <w:t xml:space="preserve"> ככל שהולכים על פי טענות התובעת יש לקבוע כי התביעה התיישנה: מאחר והתובעת טוענת כי ההלוואה ניתנה בשנת 2013 וסוכם כי תוחזר בתוך 3 חודשים ועל כן מאחר והתביעה הוגשה בחודש 8/2021 התביעה התיישנה. לטענת </w:t>
      </w:r>
      <w:r>
        <w:rPr>
          <w:rFonts w:ascii="David" w:hAnsi="David"/>
          <w:b/>
          <w:bCs/>
          <w:rtl/>
        </w:rPr>
        <w:t>התובעת</w:t>
      </w:r>
      <w:r>
        <w:rPr>
          <w:rFonts w:ascii="David" w:hAnsi="David"/>
          <w:rtl/>
        </w:rPr>
        <w:t xml:space="preserve">, הנתבע לא יכול גם לטעון כי מדובר במתנה ולא בהלוואה וגם לטעון כי מדובר בהלוואה שהתיישנה ורק בשל כך יש להורות על דחיית טענה זו. כמו כן מדגישה כי החזר ההלוואה הוארך שוב ושוב ובחודש 6/2018 הוחזרו חלק מהכספים ויש לראות מועד זה כמועד בו מתחילה להיספר תקופת ההתיישנות ומאחר והתביעה הוגשה בחודש 8/2021 היא לא התיישנה. בנוסף טוענת התובעת כי יש לראות בתשלומים שביצע הנתבע בחודש 6/2018 כהודאה בהתאם לסעיף 9 לחוק ההתיישנות מאחר וציין בהם כי מדובר בהחזר הלוואה ועל כן גם לפי סעיף זה התביעה לא התיישנה. </w:t>
      </w:r>
    </w:p>
    <w:p w:rsidR="008B0FB2" w:rsidRDefault="008B0FB2" w:rsidP="008B0FB2">
      <w:pPr>
        <w:pStyle w:val="aa"/>
        <w:rPr>
          <w:rFonts w:ascii="David" w:hAnsi="David"/>
          <w:b/>
          <w:bCs/>
        </w:rPr>
      </w:pPr>
    </w:p>
    <w:p w:rsidR="008B0FB2" w:rsidRDefault="008B0FB2" w:rsidP="008B0FB2">
      <w:pPr>
        <w:pStyle w:val="aa"/>
        <w:numPr>
          <w:ilvl w:val="3"/>
          <w:numId w:val="1"/>
        </w:numPr>
        <w:spacing w:line="360" w:lineRule="auto"/>
        <w:jc w:val="both"/>
        <w:rPr>
          <w:rFonts w:ascii="David" w:hAnsi="David"/>
          <w:b/>
          <w:bCs/>
          <w:rtl/>
        </w:rPr>
      </w:pPr>
      <w:r>
        <w:rPr>
          <w:rFonts w:ascii="David" w:hAnsi="David"/>
          <w:b/>
          <w:bCs/>
          <w:rtl/>
        </w:rPr>
        <w:t xml:space="preserve">לאחר בחינת טענות הצדדים, ראיותיהם ועדויותיהם – דין טענת ההתיישנות להידחות. </w:t>
      </w:r>
    </w:p>
    <w:p w:rsidR="008B0FB2" w:rsidRDefault="008B0FB2" w:rsidP="008B0FB2">
      <w:pPr>
        <w:pStyle w:val="aa"/>
        <w:rPr>
          <w:rFonts w:ascii="David" w:hAnsi="David"/>
          <w:b/>
          <w:bCs/>
        </w:rPr>
      </w:pPr>
    </w:p>
    <w:p w:rsidR="008B0FB2" w:rsidRDefault="008B0FB2" w:rsidP="008B0FB2">
      <w:pPr>
        <w:pStyle w:val="aa"/>
        <w:numPr>
          <w:ilvl w:val="3"/>
          <w:numId w:val="1"/>
        </w:numPr>
        <w:spacing w:line="360" w:lineRule="auto"/>
        <w:jc w:val="both"/>
        <w:rPr>
          <w:rFonts w:ascii="David" w:hAnsi="David"/>
          <w:b/>
          <w:bCs/>
          <w:rtl/>
        </w:rPr>
      </w:pPr>
      <w:r>
        <w:rPr>
          <w:rFonts w:ascii="David" w:hAnsi="David"/>
          <w:rtl/>
        </w:rPr>
        <w:t xml:space="preserve">הכספים ניתנו בשנת 2013. בשנת 2018 הוחזרו על ידי הנתבע 75,000 ₪ כשהנתבע עצמו מציין כי מדובר בהחזר הלוואה (ועל כך עוד בהמשך). התובעת נחקרה לגבי המועדים ותשובותיה כי סמכה על הנתבע בשל הקשר המשפחתי וכי ניהלה עימו שיח על כך מעת לעת היו מהימנות. על כן גם אם אקח את המועד המוקדם שבו השיב הנתבע חלק מההלוואה בחודש 6/2018, כמועד בו יכלה התובעת להבין כי לא ישיב את יתרת ההלוואה וקמה לה זכות תביעה, הרי שהגשת התביעה בחלוף 3 שנים וחודשיים אינה עוברת את תקופת ההתיישנות. </w:t>
      </w:r>
    </w:p>
    <w:p w:rsidR="008B0FB2" w:rsidRDefault="008B0FB2" w:rsidP="008B0FB2">
      <w:pPr>
        <w:pStyle w:val="aa"/>
        <w:spacing w:line="360" w:lineRule="auto"/>
        <w:ind w:left="567"/>
        <w:jc w:val="both"/>
        <w:rPr>
          <w:rFonts w:ascii="David" w:hAnsi="David"/>
          <w:b/>
          <w:bCs/>
        </w:rPr>
      </w:pPr>
    </w:p>
    <w:p w:rsidR="008B0FB2" w:rsidRDefault="008B0FB2" w:rsidP="008B0FB2">
      <w:pPr>
        <w:pStyle w:val="aa"/>
        <w:numPr>
          <w:ilvl w:val="3"/>
          <w:numId w:val="1"/>
        </w:numPr>
        <w:spacing w:line="360" w:lineRule="auto"/>
        <w:jc w:val="both"/>
        <w:rPr>
          <w:rFonts w:ascii="Arial" w:hAnsi="Arial"/>
          <w:noProof w:val="0"/>
        </w:rPr>
      </w:pPr>
      <w:r>
        <w:rPr>
          <w:rFonts w:ascii="David" w:hAnsi="David"/>
          <w:b/>
          <w:bCs/>
          <w:u w:val="single"/>
          <w:rtl/>
        </w:rPr>
        <w:t>סמכות עניינית</w:t>
      </w:r>
      <w:r>
        <w:rPr>
          <w:rFonts w:ascii="David" w:hAnsi="David"/>
          <w:rtl/>
        </w:rPr>
        <w:t xml:space="preserve"> – התובעת היא חמותו של הנתבע. הנתבע הוא בן זוגה לשעבר של בתה של התובעת. שוכנעתי כי</w:t>
      </w:r>
      <w:r>
        <w:rPr>
          <w:rFonts w:ascii="Arial" w:hAnsi="Arial"/>
          <w:noProof w:val="0"/>
          <w:rtl/>
        </w:rPr>
        <w:t xml:space="preserve"> הצדדים הם בני משפחה וכן כי: "הסכסוך המשפחתי תרם תרומה משמעותית לגיבושה של עילת התביעה" על פי רע"א 6558/99 </w:t>
      </w:r>
      <w:r>
        <w:rPr>
          <w:rFonts w:ascii="Miriam" w:hAnsi="Miriam" w:cs="Miriam"/>
          <w:noProof w:val="0"/>
          <w:rtl/>
        </w:rPr>
        <w:t>חבס נ' חבס</w:t>
      </w:r>
      <w:r>
        <w:rPr>
          <w:rFonts w:ascii="Arial" w:hAnsi="Arial"/>
          <w:noProof w:val="0"/>
          <w:rtl/>
        </w:rPr>
        <w:t xml:space="preserve"> נד (4) 337 (להלן: "</w:t>
      </w:r>
      <w:r>
        <w:rPr>
          <w:rFonts w:ascii="Miriam" w:hAnsi="Miriam" w:cs="Miriam"/>
          <w:noProof w:val="0"/>
          <w:rtl/>
        </w:rPr>
        <w:t>הלכת חבס</w:t>
      </w:r>
      <w:r>
        <w:rPr>
          <w:rFonts w:ascii="Arial" w:hAnsi="Arial"/>
          <w:noProof w:val="0"/>
          <w:rtl/>
        </w:rPr>
        <w:t xml:space="preserve">"). הרקע המשפחתי והקשרים המשפחתיים הם לב ליבה של המחלוקת. אין מדובר בצדדים זרים לזה. יתרה מכך, אין מקום לפרשנות של החוק שבו מייד עם פרידת בתה של התובעת והנתבע לא יחול חוק בית המשפט לענייני משפחה. התובעת המתינה עם התביעה ונימקה היטב בחקירתה מדוע עשתה כן בשל הקשר המשפחתי הנמשך גם לאחר ובסמוך לפרידה. אין מדובר בתביעה שהוגשה שנים על גבי שנים לאחר הפרידה וללא קשר אליה. אלא מדובר במסכת הקשורה לטבורו של הקשר המשפחתי והתביעה הוגשה בטווח זמן הרלוונטי עוד לקשרי המשפחה. על כן הטענה להעדר סמכות עניינית נדחית. שוכנעתי מערכת היחסים המשפחתית, האמון והקשרים המשפחתיים הם שהיוו את הרקע, המניע והמצע עליו צמח הסכסוך בין הצדדים. אני סבורה כי במקרה דנן, לסכסוך המשפחתי ולקשרים המשפחתיים </w:t>
      </w:r>
      <w:r>
        <w:rPr>
          <w:rFonts w:ascii="Arial" w:hAnsi="Arial"/>
          <w:noProof w:val="0"/>
          <w:rtl/>
        </w:rPr>
        <w:lastRenderedPageBreak/>
        <w:t>הייתה תרומה נכבדה וחשובה להיווצרותה של עילת התביעה, וכי מתקיימים התנאים הנדרשת ב</w:t>
      </w:r>
      <w:r>
        <w:rPr>
          <w:rFonts w:ascii="Miriam" w:hAnsi="Miriam" w:cs="Miriam"/>
          <w:noProof w:val="0"/>
          <w:rtl/>
        </w:rPr>
        <w:t>הלכת חבס</w:t>
      </w:r>
      <w:r>
        <w:rPr>
          <w:rFonts w:ascii="Arial" w:hAnsi="Arial"/>
          <w:noProof w:val="0"/>
          <w:rtl/>
        </w:rPr>
        <w:t xml:space="preserve">. יתרה מכך – לולא הקשר המשפחתי לא הייתה התובעת מעבירה לנתבע כלל כספים. </w:t>
      </w:r>
    </w:p>
    <w:p w:rsidR="008B0FB2" w:rsidRDefault="008B0FB2" w:rsidP="008B0FB2">
      <w:pPr>
        <w:pStyle w:val="aa"/>
        <w:rPr>
          <w:rFonts w:ascii="Arial" w:hAnsi="Arial"/>
          <w:noProof w:val="0"/>
        </w:rPr>
      </w:pPr>
    </w:p>
    <w:p w:rsidR="008B0FB2" w:rsidRDefault="008B0FB2" w:rsidP="008B0FB2">
      <w:pPr>
        <w:pStyle w:val="aa"/>
        <w:numPr>
          <w:ilvl w:val="3"/>
          <w:numId w:val="1"/>
        </w:numPr>
        <w:spacing w:line="360" w:lineRule="auto"/>
        <w:jc w:val="both"/>
        <w:rPr>
          <w:rFonts w:ascii="Arial" w:hAnsi="Arial"/>
          <w:noProof w:val="0"/>
          <w:rtl/>
        </w:rPr>
      </w:pPr>
      <w:r>
        <w:rPr>
          <w:rFonts w:ascii="David" w:hAnsi="David"/>
          <w:rtl/>
        </w:rPr>
        <w:t>יתרה מכך, הנתבע הוא שקשר את הקשר המשפחתי כטענת הגנה יסודית ומהותית וחזר על הטענה כי בשל הקשר המשפחתי יש לדחות את התביעה. הנתבע טען כי הכספים ניתנו כמתנה כחלק מהקשר הזוגי המשפחתי וכחלק מהתחשבנות בינו לבין הבת. על כן אין מקום להעתר לטענתו כעת וכטענה לדחיית התביעה בשלב הזה ולאחר שמיעת העדויות בתיק וסיום ההליך.</w:t>
      </w:r>
    </w:p>
    <w:p w:rsidR="008B0FB2" w:rsidRDefault="008B0FB2" w:rsidP="008B0FB2">
      <w:pPr>
        <w:pStyle w:val="aa"/>
        <w:spacing w:line="360" w:lineRule="auto"/>
        <w:ind w:left="567"/>
        <w:jc w:val="both"/>
        <w:rPr>
          <w:rFonts w:ascii="David" w:hAnsi="David"/>
          <w:rtl/>
        </w:rPr>
      </w:pPr>
    </w:p>
    <w:p w:rsidR="008B0FB2" w:rsidRDefault="008B0FB2" w:rsidP="008B0FB2">
      <w:pPr>
        <w:pStyle w:val="aa"/>
        <w:numPr>
          <w:ilvl w:val="3"/>
          <w:numId w:val="1"/>
        </w:numPr>
        <w:spacing w:line="360" w:lineRule="auto"/>
        <w:jc w:val="both"/>
        <w:rPr>
          <w:rFonts w:ascii="David" w:hAnsi="David"/>
          <w:b/>
          <w:bCs/>
        </w:rPr>
      </w:pPr>
      <w:r>
        <w:rPr>
          <w:rFonts w:ascii="David" w:hAnsi="David"/>
          <w:b/>
          <w:bCs/>
          <w:rtl/>
        </w:rPr>
        <w:t>על כן ולאחר דחיית טענות הסף, כעת יש לבחון האם הכספים שהועברו על ידי התובעת לנתבע מהווים הלוואה שעל הנתבע להשיב לה.</w:t>
      </w:r>
    </w:p>
    <w:p w:rsidR="008B0FB2" w:rsidRDefault="008B0FB2" w:rsidP="008B0FB2">
      <w:pPr>
        <w:pStyle w:val="aa"/>
        <w:spacing w:line="360" w:lineRule="auto"/>
        <w:ind w:left="567"/>
        <w:jc w:val="both"/>
        <w:rPr>
          <w:rFonts w:ascii="David" w:hAnsi="David"/>
        </w:rPr>
      </w:pPr>
    </w:p>
    <w:p w:rsidR="008B0FB2" w:rsidRDefault="008B0FB2" w:rsidP="008B0FB2">
      <w:pPr>
        <w:pStyle w:val="aa"/>
        <w:numPr>
          <w:ilvl w:val="3"/>
          <w:numId w:val="1"/>
        </w:numPr>
        <w:spacing w:line="360" w:lineRule="auto"/>
        <w:jc w:val="both"/>
        <w:rPr>
          <w:rFonts w:ascii="David" w:hAnsi="David"/>
        </w:rPr>
      </w:pPr>
      <w:r>
        <w:rPr>
          <w:rFonts w:ascii="David" w:hAnsi="David"/>
          <w:rtl/>
        </w:rPr>
        <w:t>בפסיקה נקבע כי בשל ייחודה של מערכת היחסים המתנהלת בין בני משפחה, ובמיוחד בזו המתנהלת בקשר הטבעי והקרוב שבין הורים לילדיהם, קיימת חזקה לפיה העברת כספים נעשית מתוך כוונה לתת מתנה. עם זאת, חזקה זו ניתנת לסתירה, כאשר נטל ההוכחה מוטל על כתפי הנותן, ועליו להוכיח כי היה ברור לכולם שמדובר בהלוואה שיש להחזירה, ולא במתנה:</w:t>
      </w:r>
    </w:p>
    <w:p w:rsidR="008B0FB2" w:rsidRDefault="008B0FB2" w:rsidP="008B0FB2">
      <w:pPr>
        <w:pStyle w:val="aa"/>
        <w:spacing w:line="360" w:lineRule="auto"/>
        <w:ind w:left="567"/>
        <w:jc w:val="both"/>
        <w:rPr>
          <w:rFonts w:ascii="David" w:hAnsi="David"/>
        </w:rPr>
      </w:pPr>
    </w:p>
    <w:p w:rsidR="008B0FB2" w:rsidRDefault="008B0FB2" w:rsidP="008B0FB2">
      <w:pPr>
        <w:pStyle w:val="aa"/>
        <w:spacing w:line="360" w:lineRule="auto"/>
        <w:ind w:left="1701" w:right="1701"/>
        <w:jc w:val="both"/>
        <w:rPr>
          <w:rFonts w:ascii="David" w:hAnsi="David"/>
        </w:rPr>
      </w:pPr>
      <w:r>
        <w:rPr>
          <w:rFonts w:ascii="David" w:hAnsi="David"/>
          <w:rtl/>
        </w:rPr>
        <w:t>"</w:t>
      </w:r>
      <w:r>
        <w:rPr>
          <w:rFonts w:ascii="David" w:hAnsi="David"/>
          <w:b/>
          <w:bCs/>
          <w:u w:val="single"/>
          <w:rtl/>
        </w:rPr>
        <w:t>הרציונל מאחורי חזקת המתנה הוא כי כאשר עסקינן ביחסי קרבה המתאפיינים בדאגת הנותן לצרכיו של המקבל, מטבע הדברים יתבצעו העברות של כסף או נכסים בין הנותן, לבן חסותו</w:t>
      </w:r>
      <w:r>
        <w:rPr>
          <w:rFonts w:ascii="David" w:hAnsi="David"/>
          <w:b/>
          <w:bCs/>
          <w:rtl/>
        </w:rPr>
        <w:t xml:space="preserve">. הנסיבות וטיב היחסים בין הצדדים מצביעים לרוב על כך שהעברות אלו נועדו להיות מתנה, אלא אם תיסתר החזקה  [...] </w:t>
      </w:r>
      <w:r>
        <w:rPr>
          <w:rFonts w:ascii="David" w:hAnsi="David"/>
          <w:b/>
          <w:bCs/>
          <w:u w:val="single"/>
          <w:rtl/>
        </w:rPr>
        <w:t>למעשה, הכלל משלב בין סטטוס משפטי לבין מציאות החיים.</w:t>
      </w:r>
      <w:r>
        <w:rPr>
          <w:rFonts w:ascii="David" w:hAnsi="David"/>
          <w:b/>
          <w:bCs/>
          <w:rtl/>
        </w:rPr>
        <w:t xml:space="preserve"> אם נדייק, ונצעד רק לפי אמות המידה של חובה לדאוג לצרכיו של המקבל – כי אז החזקה לא תחול גם בין הורה לבנו הבגיר. במצב האמור, אין חובה משפטית לאב לדאוג לבנו. אלא הניסיון ומציאות החיים מלמדים כי לא פעם הורה לא משחרר עצמו מהדאגה לבנו, גם אם החובה המשפטית אינה בנמצא מחמת גילו של הבן</w:t>
      </w:r>
      <w:r>
        <w:rPr>
          <w:rFonts w:ascii="David" w:hAnsi="David"/>
          <w:rtl/>
        </w:rPr>
        <w:t xml:space="preserve">". (ההדגשות בקו – הוספו). </w:t>
      </w:r>
    </w:p>
    <w:p w:rsidR="008B0FB2" w:rsidRDefault="008B0FB2" w:rsidP="008B0FB2">
      <w:pPr>
        <w:spacing w:line="360" w:lineRule="auto"/>
        <w:ind w:left="567"/>
        <w:jc w:val="both"/>
        <w:rPr>
          <w:rFonts w:ascii="David" w:hAnsi="David"/>
        </w:rPr>
      </w:pPr>
      <w:r>
        <w:rPr>
          <w:rFonts w:ascii="David" w:hAnsi="David"/>
          <w:rtl/>
        </w:rPr>
        <w:t xml:space="preserve">ראו: </w:t>
      </w:r>
      <w:r>
        <w:rPr>
          <w:rFonts w:ascii="Arial" w:hAnsi="Arial"/>
          <w:rtl/>
        </w:rPr>
        <w:t xml:space="preserve">רע"א 8068/16 </w:t>
      </w:r>
      <w:r>
        <w:rPr>
          <w:rFonts w:ascii="Miriam" w:eastAsia="Microsoft GothicNeo" w:hAnsi="Miriam" w:cs="Miriam"/>
          <w:rtl/>
        </w:rPr>
        <w:t xml:space="preserve"> קטן נ' כהן</w:t>
      </w:r>
      <w:r>
        <w:rPr>
          <w:rFonts w:ascii="Arial" w:hAnsi="Arial"/>
          <w:rtl/>
        </w:rPr>
        <w:t xml:space="preserve"> </w:t>
      </w:r>
      <w:r>
        <w:rPr>
          <w:rFonts w:ascii="David" w:hAnsi="David"/>
          <w:rtl/>
        </w:rPr>
        <w:t xml:space="preserve">סעיף 4 לפסק-דינו של כב' השופט הנדל </w:t>
      </w:r>
      <w:r>
        <w:rPr>
          <w:rFonts w:ascii="Arial" w:hAnsi="Arial"/>
          <w:rtl/>
        </w:rPr>
        <w:t>(25.1.2018).</w:t>
      </w:r>
    </w:p>
    <w:p w:rsidR="008B0FB2" w:rsidRDefault="008B0FB2" w:rsidP="008B0FB2">
      <w:pPr>
        <w:pStyle w:val="aa"/>
        <w:spacing w:line="360" w:lineRule="auto"/>
        <w:jc w:val="both"/>
        <w:rPr>
          <w:rFonts w:ascii="Arial" w:hAnsi="Arial"/>
          <w:highlight w:val="yellow"/>
          <w:rtl/>
        </w:rPr>
      </w:pPr>
    </w:p>
    <w:p w:rsidR="008B0FB2" w:rsidRDefault="008B0FB2" w:rsidP="008B0FB2">
      <w:pPr>
        <w:pStyle w:val="aa"/>
        <w:spacing w:line="360" w:lineRule="auto"/>
        <w:jc w:val="both"/>
        <w:rPr>
          <w:rFonts w:ascii="Arial" w:hAnsi="Arial"/>
          <w:highlight w:val="yellow"/>
          <w:rtl/>
        </w:rPr>
      </w:pPr>
    </w:p>
    <w:p w:rsidR="008B0FB2" w:rsidRDefault="008B0FB2" w:rsidP="008B0FB2">
      <w:pPr>
        <w:pStyle w:val="aa"/>
        <w:spacing w:line="360" w:lineRule="auto"/>
        <w:jc w:val="both"/>
        <w:rPr>
          <w:rFonts w:ascii="Arial" w:hAnsi="Arial"/>
          <w:highlight w:val="yellow"/>
          <w:rtl/>
        </w:rPr>
      </w:pPr>
    </w:p>
    <w:p w:rsidR="008B0FB2" w:rsidRDefault="008B0FB2" w:rsidP="008B0FB2">
      <w:pPr>
        <w:pStyle w:val="aa"/>
        <w:spacing w:line="360" w:lineRule="auto"/>
        <w:jc w:val="both"/>
        <w:rPr>
          <w:rFonts w:ascii="Arial" w:hAnsi="Arial"/>
          <w:highlight w:val="yellow"/>
        </w:rPr>
      </w:pPr>
    </w:p>
    <w:p w:rsidR="008B0FB2" w:rsidRDefault="008B0FB2" w:rsidP="008B0FB2">
      <w:pPr>
        <w:pStyle w:val="aa"/>
        <w:numPr>
          <w:ilvl w:val="3"/>
          <w:numId w:val="1"/>
        </w:numPr>
        <w:spacing w:line="360" w:lineRule="auto"/>
        <w:jc w:val="both"/>
        <w:rPr>
          <w:rFonts w:ascii="David" w:hAnsi="David"/>
          <w:rtl/>
        </w:rPr>
      </w:pPr>
      <w:r>
        <w:rPr>
          <w:rFonts w:ascii="David" w:hAnsi="David"/>
          <w:rtl/>
        </w:rPr>
        <w:lastRenderedPageBreak/>
        <w:t xml:space="preserve">בע"א 3829/91 </w:t>
      </w:r>
      <w:r>
        <w:rPr>
          <w:rFonts w:ascii="Miriam" w:eastAsia="Microsoft GothicNeo" w:hAnsi="Miriam" w:cs="Miriam"/>
          <w:rtl/>
        </w:rPr>
        <w:t>וואלס נ' גת</w:t>
      </w:r>
      <w:r>
        <w:rPr>
          <w:rFonts w:ascii="David" w:hAnsi="David"/>
          <w:rtl/>
        </w:rPr>
        <w:t xml:space="preserve"> נקבע כי:</w:t>
      </w:r>
    </w:p>
    <w:p w:rsidR="008B0FB2" w:rsidRDefault="008B0FB2" w:rsidP="008B0FB2">
      <w:pPr>
        <w:pStyle w:val="aa"/>
        <w:spacing w:line="360" w:lineRule="auto"/>
        <w:ind w:left="1701" w:right="1701"/>
        <w:jc w:val="both"/>
        <w:rPr>
          <w:rFonts w:ascii="David" w:hAnsi="David"/>
          <w:rtl/>
        </w:rPr>
      </w:pPr>
      <w:r>
        <w:rPr>
          <w:rFonts w:ascii="David" w:hAnsi="David"/>
          <w:b/>
          <w:bCs/>
          <w:rtl/>
        </w:rPr>
        <w:t>" לעומת זאת, כאשר מדובר ביחסי משפחה - קיימת חזקה, שאף היא ניתנת לסתירה</w:t>
      </w:r>
      <w:r>
        <w:rPr>
          <w:rFonts w:ascii="David" w:hAnsi="David"/>
          <w:b/>
          <w:bCs/>
        </w:rPr>
        <w:t xml:space="preserve">, </w:t>
      </w:r>
      <w:r>
        <w:rPr>
          <w:rFonts w:ascii="David" w:hAnsi="David"/>
          <w:b/>
          <w:bCs/>
          <w:rtl/>
        </w:rPr>
        <w:t>כי העברה ללא תמורה נעשית מתוך כוונה לתת מתנה ,</w:t>
      </w:r>
      <w:r>
        <w:rPr>
          <w:rFonts w:ascii="David" w:hAnsi="David"/>
          <w:b/>
          <w:bCs/>
        </w:rPr>
        <w:t>hayton and marshall, supra</w:t>
      </w:r>
      <w:r>
        <w:rPr>
          <w:rFonts w:ascii="David" w:hAnsi="David"/>
          <w:b/>
          <w:bCs/>
          <w:rtl/>
        </w:rPr>
        <w:t xml:space="preserve"> </w:t>
      </w:r>
      <w:r>
        <w:rPr>
          <w:rFonts w:ascii="David" w:hAnsi="David"/>
          <w:b/>
          <w:bCs/>
        </w:rPr>
        <w:t>271bogert, suprat, at; 434at</w:t>
      </w:r>
      <w:r>
        <w:rPr>
          <w:rFonts w:ascii="David" w:hAnsi="David"/>
          <w:b/>
          <w:bCs/>
          <w:rtl/>
        </w:rPr>
        <w:t>)</w:t>
      </w:r>
      <w:r>
        <w:rPr>
          <w:rFonts w:ascii="David" w:hAnsi="David"/>
          <w:b/>
          <w:bCs/>
        </w:rPr>
        <w:t xml:space="preserve">. </w:t>
      </w:r>
      <w:r>
        <w:rPr>
          <w:rFonts w:ascii="David" w:hAnsi="David"/>
          <w:b/>
          <w:bCs/>
          <w:rtl/>
        </w:rPr>
        <w:t>חזקה זו מצומצמת רק לקשרים אשר בהם טבעי להניח שמדובר במתנה, למשל, כאשר מדובר ביחסים שבהם</w:t>
      </w:r>
      <w:r>
        <w:rPr>
          <w:rFonts w:ascii="David" w:hAnsi="David"/>
          <w:b/>
          <w:bCs/>
        </w:rPr>
        <w:t xml:space="preserve"> </w:t>
      </w:r>
      <w:r>
        <w:rPr>
          <w:rFonts w:ascii="David" w:hAnsi="David"/>
          <w:b/>
          <w:bCs/>
          <w:rtl/>
        </w:rPr>
        <w:t>המעביר מחויב לדאוג לרווחתו הכלכלית של הנעבר (כמו ביחסים שבין הורים וילדים) ([</w:t>
      </w:r>
      <w:r>
        <w:rPr>
          <w:rFonts w:ascii="David" w:hAnsi="David"/>
          <w:b/>
          <w:bCs/>
        </w:rPr>
        <w:t>4</w:t>
      </w:r>
      <w:r>
        <w:rPr>
          <w:rFonts w:ascii="David" w:hAnsi="David"/>
          <w:b/>
          <w:bCs/>
          <w:rtl/>
        </w:rPr>
        <w:t>]</w:t>
      </w:r>
      <w:r>
        <w:rPr>
          <w:rFonts w:ascii="David" w:hAnsi="David"/>
          <w:b/>
          <w:bCs/>
        </w:rPr>
        <w:t xml:space="preserve"> </w:t>
      </w:r>
      <w:r>
        <w:rPr>
          <w:rFonts w:ascii="David" w:hAnsi="David"/>
          <w:b/>
          <w:bCs/>
          <w:rtl/>
        </w:rPr>
        <w:t>(</w:t>
      </w:r>
      <w:r>
        <w:rPr>
          <w:rFonts w:ascii="David" w:hAnsi="David"/>
          <w:b/>
          <w:bCs/>
        </w:rPr>
        <w:t>1955</w:t>
      </w:r>
      <w:r>
        <w:rPr>
          <w:rFonts w:ascii="David" w:hAnsi="David"/>
          <w:b/>
          <w:bCs/>
          <w:rtl/>
        </w:rPr>
        <w:t>)</w:t>
      </w:r>
      <w:r>
        <w:rPr>
          <w:rFonts w:ascii="David" w:hAnsi="David"/>
          <w:b/>
          <w:bCs/>
        </w:rPr>
        <w:t xml:space="preserve"> scanlon v. Scanlon</w:t>
      </w:r>
      <w:r>
        <w:rPr>
          <w:rFonts w:ascii="David" w:hAnsi="David"/>
          <w:b/>
          <w:bCs/>
          <w:rtl/>
        </w:rPr>
        <w:t>)</w:t>
      </w:r>
      <w:r>
        <w:rPr>
          <w:rFonts w:ascii="David" w:hAnsi="David"/>
          <w:b/>
          <w:bCs/>
        </w:rPr>
        <w:t xml:space="preserve">, </w:t>
      </w:r>
      <w:r>
        <w:rPr>
          <w:rFonts w:ascii="David" w:hAnsi="David"/>
          <w:b/>
          <w:bCs/>
          <w:rtl/>
        </w:rPr>
        <w:t>והיא אינה חלה כאשר הקשר בין הצדדים, אף אם</w:t>
      </w:r>
      <w:r>
        <w:rPr>
          <w:rFonts w:ascii="David" w:hAnsi="David"/>
          <w:b/>
          <w:bCs/>
        </w:rPr>
        <w:t xml:space="preserve"> </w:t>
      </w:r>
      <w:r>
        <w:rPr>
          <w:rFonts w:ascii="David" w:hAnsi="David"/>
          <w:b/>
          <w:bCs/>
          <w:rtl/>
        </w:rPr>
        <w:t>מדובר בקשרי משפחה, אינו יוצר הנחה כי המעביר התכוון להעניק לנעבר מתנה</w:t>
      </w:r>
      <w:r>
        <w:rPr>
          <w:rFonts w:ascii="David" w:hAnsi="David"/>
          <w:rtl/>
        </w:rPr>
        <w:t xml:space="preserve">" </w:t>
      </w:r>
    </w:p>
    <w:p w:rsidR="008B0FB2" w:rsidRDefault="008B0FB2" w:rsidP="008B0FB2">
      <w:pPr>
        <w:spacing w:line="360" w:lineRule="auto"/>
        <w:ind w:right="1701" w:firstLine="567"/>
        <w:jc w:val="both"/>
        <w:rPr>
          <w:rFonts w:ascii="David" w:hAnsi="David"/>
          <w:rtl/>
        </w:rPr>
      </w:pPr>
      <w:r>
        <w:rPr>
          <w:rFonts w:ascii="David" w:hAnsi="David"/>
          <w:rtl/>
        </w:rPr>
        <w:t xml:space="preserve">ראו: ע"א 3829/91 </w:t>
      </w:r>
      <w:r>
        <w:rPr>
          <w:rFonts w:ascii="Miriam" w:eastAsia="Microsoft GothicNeo" w:hAnsi="Miriam" w:cs="Miriam"/>
          <w:rtl/>
        </w:rPr>
        <w:t>וואלס נ' גת</w:t>
      </w:r>
      <w:r>
        <w:rPr>
          <w:rFonts w:ascii="David" w:hAnsi="David"/>
          <w:rtl/>
        </w:rPr>
        <w:t>, פ"ד מח(1) 801, 811.</w:t>
      </w:r>
    </w:p>
    <w:p w:rsidR="008B0FB2" w:rsidRDefault="008B0FB2" w:rsidP="008B0FB2">
      <w:pPr>
        <w:spacing w:line="360" w:lineRule="auto"/>
        <w:ind w:right="1701" w:firstLine="567"/>
        <w:jc w:val="both"/>
        <w:rPr>
          <w:rFonts w:ascii="David" w:hAnsi="David"/>
          <w:rtl/>
        </w:rPr>
      </w:pPr>
    </w:p>
    <w:p w:rsidR="008B0FB2" w:rsidRDefault="008B0FB2" w:rsidP="008B0FB2">
      <w:pPr>
        <w:pStyle w:val="aa"/>
        <w:numPr>
          <w:ilvl w:val="3"/>
          <w:numId w:val="1"/>
        </w:numPr>
        <w:spacing w:line="360" w:lineRule="auto"/>
        <w:jc w:val="both"/>
        <w:rPr>
          <w:rFonts w:ascii="David" w:hAnsi="David"/>
          <w:rtl/>
        </w:rPr>
      </w:pPr>
      <w:r>
        <w:rPr>
          <w:rFonts w:ascii="David" w:hAnsi="David"/>
          <w:rtl/>
        </w:rPr>
        <w:t>במקרה של מחלוקת באם מדובר במתנה או הלוואה יש לבחון את נטלי ההוכחה ואת הראיות שמובאות במקרה הספציפי. כך, נקבע כי יש לייחס משקל לראיות שיוצגו בפני בית המשפט, וכי המסקנה הסופית תמיד תהיה תלוית נסיבות:</w:t>
      </w:r>
    </w:p>
    <w:p w:rsidR="008B0FB2" w:rsidRDefault="008B0FB2" w:rsidP="008B0FB2">
      <w:pPr>
        <w:pStyle w:val="aa"/>
        <w:spacing w:line="360" w:lineRule="auto"/>
        <w:ind w:left="567"/>
        <w:jc w:val="both"/>
        <w:rPr>
          <w:rFonts w:ascii="David" w:hAnsi="David"/>
          <w:rtl/>
        </w:rPr>
      </w:pPr>
    </w:p>
    <w:p w:rsidR="008B0FB2" w:rsidRDefault="008B0FB2" w:rsidP="008B0FB2">
      <w:pPr>
        <w:pStyle w:val="aa"/>
        <w:spacing w:line="360" w:lineRule="auto"/>
        <w:ind w:left="1701" w:right="1701"/>
        <w:jc w:val="both"/>
        <w:rPr>
          <w:rFonts w:ascii="David" w:hAnsi="David"/>
          <w:b/>
          <w:bCs/>
        </w:rPr>
      </w:pPr>
      <w:r>
        <w:rPr>
          <w:rFonts w:ascii="David" w:hAnsi="David"/>
          <w:b/>
          <w:bCs/>
          <w:rtl/>
        </w:rPr>
        <w:t>"</w:t>
      </w:r>
      <w:r>
        <w:rPr>
          <w:rFonts w:ascii="David" w:hAnsi="David"/>
          <w:b/>
          <w:bCs/>
          <w:u w:val="single"/>
          <w:rtl/>
        </w:rPr>
        <w:t>משקלן הסגולי של הראיות הדרושות על מנת לבסס את חזקת המתנה בין קרובים משתנה בהתאם לנסיבות, ובכללן טיב קשרי המשפחה והן מהות המתנה ונסיבותיה.</w:t>
      </w:r>
      <w:r>
        <w:rPr>
          <w:rFonts w:ascii="David" w:hAnsi="David"/>
          <w:b/>
          <w:bCs/>
          <w:rtl/>
        </w:rPr>
        <w:t xml:space="preserve"> ...</w:t>
      </w:r>
      <w:r>
        <w:rPr>
          <w:rFonts w:ascii="David" w:hAnsi="David"/>
          <w:b/>
          <w:bCs/>
          <w:u w:val="single"/>
          <w:rtl/>
        </w:rPr>
        <w:t>ברי, כי לא ניתן לקבוע כללים נוקשים וכפי שנקבע בפרשת גולדברג, המסקנה הסופית הינה לעולם תלוית נסיבות.</w:t>
      </w:r>
      <w:r>
        <w:rPr>
          <w:rFonts w:ascii="David" w:hAnsi="David"/>
          <w:b/>
          <w:bCs/>
          <w:rtl/>
        </w:rPr>
        <w:t xml:space="preserve"> אכן, הורתה ולידתה של חזקת המתנה הינה בניסיון החיים וניסיון זה מורה אימתי לא קמה החזקה, לרבות מקום בו מהות המתנה או שוויה אינם עולים בקנה אחד עם הענקה, ואפילו בין בני משפחה." </w:t>
      </w:r>
    </w:p>
    <w:p w:rsidR="008B0FB2" w:rsidRDefault="008B0FB2" w:rsidP="008B0FB2">
      <w:pPr>
        <w:spacing w:line="360" w:lineRule="auto"/>
        <w:ind w:firstLine="567"/>
        <w:jc w:val="both"/>
        <w:rPr>
          <w:rFonts w:ascii="David" w:hAnsi="David"/>
          <w:rtl/>
        </w:rPr>
      </w:pPr>
      <w:r>
        <w:rPr>
          <w:rFonts w:ascii="David" w:hAnsi="David"/>
          <w:rtl/>
        </w:rPr>
        <w:t xml:space="preserve">ראו: תמ"ש 35951-12-14 </w:t>
      </w:r>
      <w:r>
        <w:rPr>
          <w:rFonts w:ascii="Miriam" w:hAnsi="Miriam" w:cs="Miriam"/>
          <w:rtl/>
        </w:rPr>
        <w:t>ש.א. נ' א.ס</w:t>
      </w:r>
      <w:r>
        <w:rPr>
          <w:rFonts w:ascii="David" w:hAnsi="David"/>
          <w:rtl/>
        </w:rPr>
        <w:t xml:space="preserve"> (14.12.2015) (ההדגשות בקו – הוספו).</w:t>
      </w:r>
    </w:p>
    <w:p w:rsidR="008B0FB2" w:rsidRDefault="008B0FB2" w:rsidP="008B0FB2">
      <w:pPr>
        <w:pStyle w:val="aa"/>
        <w:spacing w:line="360" w:lineRule="auto"/>
        <w:ind w:left="1701" w:right="1701"/>
        <w:jc w:val="both"/>
        <w:rPr>
          <w:rFonts w:ascii="David" w:hAnsi="David"/>
        </w:rPr>
      </w:pPr>
    </w:p>
    <w:p w:rsidR="008B0FB2" w:rsidRDefault="008B0FB2" w:rsidP="008B0FB2">
      <w:pPr>
        <w:pStyle w:val="aa"/>
        <w:numPr>
          <w:ilvl w:val="3"/>
          <w:numId w:val="1"/>
        </w:numPr>
        <w:spacing w:line="360" w:lineRule="auto"/>
        <w:jc w:val="both"/>
        <w:rPr>
          <w:rFonts w:ascii="David" w:hAnsi="David"/>
          <w:rtl/>
        </w:rPr>
      </w:pPr>
      <w:r>
        <w:rPr>
          <w:rFonts w:ascii="David" w:hAnsi="David"/>
          <w:rtl/>
        </w:rPr>
        <w:t>על מנת להוכיח שמדובר בהלוואה (ולא במתנה), לא קיימת דרישה ספציפית לקיומו של הסכם בכתב, אך עם זאת, נטל שכנוע מוגבר ירבוץ על כתפי הטוען להלוואה:</w:t>
      </w:r>
    </w:p>
    <w:p w:rsidR="008B0FB2" w:rsidRDefault="008B0FB2" w:rsidP="008B0FB2">
      <w:pPr>
        <w:pStyle w:val="aa"/>
        <w:spacing w:line="360" w:lineRule="auto"/>
        <w:ind w:left="1701" w:right="1701"/>
        <w:jc w:val="both"/>
        <w:rPr>
          <w:rFonts w:ascii="David" w:hAnsi="David" w:cstheme="minorBidi"/>
          <w:b/>
          <w:bCs/>
          <w:sz w:val="22"/>
          <w:szCs w:val="22"/>
          <w:rtl/>
        </w:rPr>
      </w:pPr>
      <w:r>
        <w:rPr>
          <w:rFonts w:ascii="David" w:hAnsi="David"/>
          <w:b/>
          <w:bCs/>
          <w:rtl/>
        </w:rPr>
        <w:t>"</w:t>
      </w:r>
      <w:r>
        <w:rPr>
          <w:rFonts w:ascii="David" w:hAnsi="David"/>
          <w:b/>
          <w:bCs/>
          <w:u w:val="single"/>
          <w:rtl/>
        </w:rPr>
        <w:t>החזקה החלה לגבי מתן הלוואה בין קרובים במעגל הקירבה הראשוני אינה מקימה אמנם "דרישת כתב", אך היא יוצרת חובת הוכחה מוגברת</w:t>
      </w:r>
      <w:r>
        <w:rPr>
          <w:rFonts w:ascii="David" w:hAnsi="David"/>
          <w:b/>
          <w:bCs/>
          <w:rtl/>
        </w:rPr>
        <w:t xml:space="preserve">, ועל  התובע לעמוד הן בדרישה של: "המוציא מחברו עליו הראיה", והן בנטל </w:t>
      </w:r>
      <w:r>
        <w:rPr>
          <w:rFonts w:ascii="David" w:hAnsi="David"/>
          <w:b/>
          <w:bCs/>
          <w:rtl/>
        </w:rPr>
        <w:lastRenderedPageBreak/>
        <w:t>לשכנע כי חרף יחסי הקרבה הראשוניים בינו לבין המקבל, אין מדובר במתנה שהוענקה אלא בהלוואה שיש להשיבה"</w:t>
      </w:r>
    </w:p>
    <w:p w:rsidR="008B0FB2" w:rsidRDefault="008B0FB2" w:rsidP="008B0FB2">
      <w:pPr>
        <w:spacing w:line="360" w:lineRule="auto"/>
        <w:ind w:left="567"/>
        <w:jc w:val="both"/>
        <w:rPr>
          <w:rFonts w:ascii="David" w:hAnsi="David"/>
          <w:rtl/>
        </w:rPr>
      </w:pPr>
      <w:r>
        <w:rPr>
          <w:rFonts w:ascii="David" w:hAnsi="David"/>
          <w:rtl/>
        </w:rPr>
        <w:t xml:space="preserve">ראו: עמ' 13 לפסק דינו של כב' השופט כהן, בתמ"ש 7630/06 </w:t>
      </w:r>
      <w:r>
        <w:rPr>
          <w:rFonts w:ascii="Miriam" w:hAnsi="Miriam" w:cs="Miriam"/>
          <w:rtl/>
        </w:rPr>
        <w:t>י.פ נ' ר.פ.ה</w:t>
      </w:r>
      <w:r>
        <w:rPr>
          <w:rFonts w:ascii="David" w:hAnsi="David"/>
          <w:rtl/>
        </w:rPr>
        <w:t xml:space="preserve"> (11.12.2006) (ההדגשות בקו – הוספו).</w:t>
      </w:r>
    </w:p>
    <w:p w:rsidR="008B0FB2" w:rsidRDefault="008B0FB2" w:rsidP="008B0FB2">
      <w:pPr>
        <w:spacing w:line="360" w:lineRule="auto"/>
        <w:ind w:right="1701" w:firstLine="567"/>
        <w:jc w:val="both"/>
        <w:rPr>
          <w:rFonts w:ascii="David" w:hAnsi="David"/>
        </w:rPr>
      </w:pPr>
    </w:p>
    <w:p w:rsidR="008B0FB2" w:rsidRDefault="008B0FB2" w:rsidP="008B0FB2">
      <w:pPr>
        <w:pStyle w:val="aa"/>
        <w:numPr>
          <w:ilvl w:val="3"/>
          <w:numId w:val="1"/>
        </w:numPr>
        <w:spacing w:line="360" w:lineRule="auto"/>
        <w:jc w:val="both"/>
        <w:rPr>
          <w:rFonts w:ascii="David" w:hAnsi="David"/>
          <w:rtl/>
        </w:rPr>
      </w:pPr>
      <w:r>
        <w:rPr>
          <w:rFonts w:ascii="David" w:hAnsi="David"/>
          <w:rtl/>
        </w:rPr>
        <w:t>בענייננו, לא נחתם הסכם הלוואה בכתב בין הצדדים. האם טוענת כי הוסכם בעל פה כי ההעברה מצד האם מהווה הלוואה. כתימוכין לטענתה, האם צירפה לכתב התביעה אסמכתאות המעידות על העברות כספים בחזרה מצד הנתבע לאם, לחשבון הבנק שלה, של חלק מסכום ההלוואה אשר על אודותם כתב הנתבע כי מדובר בחלקים של החזר "</w:t>
      </w:r>
      <w:r>
        <w:rPr>
          <w:rFonts w:ascii="David" w:hAnsi="David"/>
          <w:i/>
          <w:iCs/>
          <w:rtl/>
        </w:rPr>
        <w:t>הלוואה</w:t>
      </w:r>
      <w:r>
        <w:rPr>
          <w:rFonts w:ascii="David" w:hAnsi="David"/>
          <w:rtl/>
        </w:rPr>
        <w:t>". הנתבע, מנגד, מנמק אחרת את נסיבות החזרי הכספים לחשבון האם, וטוען שאין לקשור בין ההעברה של האם אליו, לבין ההעברות שלו לאם.</w:t>
      </w:r>
    </w:p>
    <w:p w:rsidR="008B0FB2" w:rsidRDefault="008B0FB2" w:rsidP="008B0FB2">
      <w:pPr>
        <w:pStyle w:val="aa"/>
        <w:spacing w:line="360" w:lineRule="auto"/>
        <w:ind w:left="567"/>
        <w:jc w:val="both"/>
        <w:rPr>
          <w:rFonts w:ascii="David" w:hAnsi="David"/>
          <w:b/>
          <w:bCs/>
        </w:rPr>
      </w:pPr>
    </w:p>
    <w:p w:rsidR="008B0FB2" w:rsidRDefault="008B0FB2" w:rsidP="008B0FB2">
      <w:pPr>
        <w:pStyle w:val="aa"/>
        <w:numPr>
          <w:ilvl w:val="3"/>
          <w:numId w:val="1"/>
        </w:numPr>
        <w:spacing w:line="360" w:lineRule="auto"/>
        <w:jc w:val="both"/>
        <w:rPr>
          <w:rFonts w:ascii="David" w:hAnsi="David"/>
          <w:b/>
          <w:bCs/>
          <w:rtl/>
        </w:rPr>
      </w:pPr>
      <w:r>
        <w:rPr>
          <w:rFonts w:ascii="David" w:hAnsi="David"/>
          <w:b/>
          <w:bCs/>
          <w:rtl/>
        </w:rPr>
        <w:t>ראשית יש לבחון את טענותיו של הנתבע כי לא מדובר בהלוואה.</w:t>
      </w:r>
    </w:p>
    <w:p w:rsidR="008B0FB2" w:rsidRDefault="008B0FB2" w:rsidP="008B0FB2">
      <w:pPr>
        <w:pStyle w:val="aa"/>
        <w:spacing w:line="360" w:lineRule="auto"/>
        <w:ind w:left="567"/>
        <w:jc w:val="both"/>
        <w:rPr>
          <w:rFonts w:ascii="David" w:hAnsi="David"/>
          <w:b/>
          <w:bCs/>
        </w:rPr>
      </w:pPr>
    </w:p>
    <w:p w:rsidR="008B0FB2" w:rsidRDefault="008B0FB2" w:rsidP="008B0FB2">
      <w:pPr>
        <w:pStyle w:val="aa"/>
        <w:numPr>
          <w:ilvl w:val="3"/>
          <w:numId w:val="1"/>
        </w:numPr>
        <w:spacing w:line="360" w:lineRule="auto"/>
        <w:jc w:val="both"/>
        <w:rPr>
          <w:rFonts w:ascii="David" w:hAnsi="David"/>
          <w:b/>
          <w:bCs/>
        </w:rPr>
      </w:pPr>
      <w:r>
        <w:rPr>
          <w:rFonts w:ascii="David" w:hAnsi="David"/>
          <w:b/>
          <w:bCs/>
          <w:rtl/>
        </w:rPr>
        <w:t xml:space="preserve">הנתבע </w:t>
      </w:r>
      <w:r>
        <w:rPr>
          <w:rFonts w:ascii="David" w:hAnsi="David"/>
          <w:rtl/>
        </w:rPr>
        <w:t>טוען כי</w:t>
      </w:r>
      <w:r>
        <w:rPr>
          <w:rFonts w:ascii="David" w:hAnsi="David"/>
          <w:b/>
          <w:bCs/>
          <w:rtl/>
        </w:rPr>
        <w:t xml:space="preserve"> </w:t>
      </w:r>
      <w:r>
        <w:rPr>
          <w:rFonts w:ascii="David" w:hAnsi="David"/>
          <w:rtl/>
        </w:rPr>
        <w:t xml:space="preserve">לא הוסכם בינו לבין האם כי מדובר בהלוואה ביניהם. </w:t>
      </w:r>
    </w:p>
    <w:p w:rsidR="008B0FB2" w:rsidRDefault="008B0FB2" w:rsidP="008B0FB2">
      <w:pPr>
        <w:pStyle w:val="aa"/>
        <w:rPr>
          <w:rFonts w:ascii="David" w:hAnsi="David"/>
        </w:rPr>
      </w:pPr>
    </w:p>
    <w:p w:rsidR="008B0FB2" w:rsidRDefault="008B0FB2" w:rsidP="008B0FB2">
      <w:pPr>
        <w:pStyle w:val="aa"/>
        <w:numPr>
          <w:ilvl w:val="3"/>
          <w:numId w:val="1"/>
        </w:numPr>
        <w:spacing w:line="360" w:lineRule="auto"/>
        <w:jc w:val="both"/>
        <w:rPr>
          <w:rFonts w:ascii="David" w:hAnsi="David"/>
          <w:b/>
          <w:bCs/>
          <w:rtl/>
        </w:rPr>
      </w:pPr>
      <w:r>
        <w:rPr>
          <w:rFonts w:ascii="David" w:hAnsi="David"/>
          <w:rtl/>
        </w:rPr>
        <w:t>עם זאת הנתבע סיפק גרסאות סותרות באשר לאופן בו קיבל לידו את ההעברה מלכתחילה. לטענותיו הסותרות של הנתבע יש לתת משקל ניכר הן מאחר שמדובר בעובדות אשר מהוות את לב ליבה של הבסיס למחלוקת, והן מאחר שהנתבע לא הצליח להעמיד נימוקים סבירים והגיוניים לכך. התנהלות זו משפיעה על כלל הגרסה הנטענת של הנתבע, אשר לפיו כל הטענות והראיות שאינן תומכות בגרסתו נוצרו במקריות ואחר טעות תמימה מצדו. אין בידי לקבל גרסה זו.</w:t>
      </w:r>
    </w:p>
    <w:p w:rsidR="008B0FB2" w:rsidRDefault="008B0FB2" w:rsidP="008B0FB2">
      <w:pPr>
        <w:pStyle w:val="aa"/>
        <w:spacing w:line="360" w:lineRule="auto"/>
        <w:ind w:left="567"/>
        <w:jc w:val="both"/>
        <w:rPr>
          <w:rFonts w:ascii="David" w:hAnsi="David"/>
          <w:b/>
          <w:bCs/>
        </w:rPr>
      </w:pPr>
    </w:p>
    <w:p w:rsidR="008B0FB2" w:rsidRDefault="008B0FB2" w:rsidP="008B0FB2">
      <w:pPr>
        <w:pStyle w:val="aa"/>
        <w:numPr>
          <w:ilvl w:val="3"/>
          <w:numId w:val="1"/>
        </w:numPr>
        <w:spacing w:line="360" w:lineRule="auto"/>
        <w:jc w:val="both"/>
        <w:rPr>
          <w:rFonts w:ascii="David" w:hAnsi="David"/>
          <w:b/>
          <w:bCs/>
        </w:rPr>
      </w:pPr>
      <w:r>
        <w:rPr>
          <w:b/>
          <w:bCs/>
          <w:rtl/>
        </w:rPr>
        <w:t>בכתב ההגנה</w:t>
      </w:r>
      <w:r>
        <w:rPr>
          <w:rtl/>
        </w:rPr>
        <w:t xml:space="preserve"> טען </w:t>
      </w:r>
      <w:r>
        <w:rPr>
          <w:b/>
          <w:bCs/>
          <w:rtl/>
        </w:rPr>
        <w:t>הנתבע</w:t>
      </w:r>
      <w:r>
        <w:rPr>
          <w:rtl/>
        </w:rPr>
        <w:t xml:space="preserve"> כי הוא קיבל את ההמחאה הבנקאית מהאם, כאשר סוכם ביניהם שזו העברה שמהווה את חלקה של הבת בהוצאות משק הבית המשותף (סעיף 48). אלא, </w:t>
      </w:r>
      <w:r>
        <w:rPr>
          <w:b/>
          <w:bCs/>
          <w:rtl/>
        </w:rPr>
        <w:t>שבתצהירו</w:t>
      </w:r>
      <w:r>
        <w:rPr>
          <w:rtl/>
        </w:rPr>
        <w:t xml:space="preserve">, וכן </w:t>
      </w:r>
      <w:r>
        <w:rPr>
          <w:b/>
          <w:bCs/>
          <w:rtl/>
        </w:rPr>
        <w:t>בחקירתו</w:t>
      </w:r>
      <w:r>
        <w:rPr>
          <w:rtl/>
        </w:rPr>
        <w:t xml:space="preserve">, טען הנתבע כי קיבל את הסך הנ"ל בהמחאה בנקאית בכלל </w:t>
      </w:r>
      <w:r>
        <w:rPr>
          <w:u w:val="single"/>
          <w:rtl/>
        </w:rPr>
        <w:t>מהבת</w:t>
      </w:r>
      <w:r>
        <w:rPr>
          <w:rtl/>
        </w:rPr>
        <w:t xml:space="preserve">, ולא ידע כלל על מעורבותה של האם בכך בזמן אמת (סעיפים 19 ו-31-32 לתצהירו; עמ' 66-62 לחקירתו). </w:t>
      </w:r>
      <w:r>
        <w:rPr>
          <w:rtl/>
        </w:rPr>
        <w:tab/>
      </w:r>
    </w:p>
    <w:p w:rsidR="008B0FB2" w:rsidRDefault="008B0FB2" w:rsidP="008B0FB2">
      <w:pPr>
        <w:pStyle w:val="aa"/>
        <w:rPr>
          <w:rFonts w:ascii="David" w:hAnsi="David"/>
          <w:b/>
          <w:bCs/>
        </w:rPr>
      </w:pPr>
    </w:p>
    <w:p w:rsidR="008B0FB2" w:rsidRDefault="008B0FB2" w:rsidP="008B0FB2">
      <w:pPr>
        <w:pStyle w:val="aa"/>
        <w:numPr>
          <w:ilvl w:val="3"/>
          <w:numId w:val="1"/>
        </w:numPr>
        <w:spacing w:line="360" w:lineRule="auto"/>
        <w:jc w:val="both"/>
        <w:rPr>
          <w:rFonts w:ascii="David" w:hAnsi="David"/>
          <w:b/>
          <w:bCs/>
          <w:rtl/>
        </w:rPr>
      </w:pPr>
      <w:r>
        <w:rPr>
          <w:rFonts w:ascii="David" w:hAnsi="David"/>
          <w:b/>
          <w:bCs/>
          <w:rtl/>
        </w:rPr>
        <w:t xml:space="preserve">התובעת </w:t>
      </w:r>
      <w:r>
        <w:rPr>
          <w:rFonts w:ascii="David" w:hAnsi="David"/>
          <w:rtl/>
        </w:rPr>
        <w:t>הוכיחה כי היא שנתנה לנתבע שיק בנקאי מחשבונה. כמו כן הפריכה את טענות הנתבע כי באותה עת הבת הייתה שותפה עימה בחשבון והוכיחה כי הבת הצטרפה לחשבונה בחודש 12/2014 לאחר שניתנו הכספים לנתבע בשנת 2013 (תצע"ר משלים מיום 25.12.22).</w:t>
      </w:r>
    </w:p>
    <w:p w:rsidR="008B0FB2" w:rsidRDefault="008B0FB2" w:rsidP="008B0FB2">
      <w:pPr>
        <w:pStyle w:val="aa"/>
        <w:rPr>
          <w:rFonts w:ascii="David" w:hAnsi="David"/>
          <w:b/>
          <w:bCs/>
          <w:rtl/>
        </w:rPr>
      </w:pPr>
    </w:p>
    <w:p w:rsidR="008B0FB2" w:rsidRDefault="008B0FB2" w:rsidP="008B0FB2">
      <w:pPr>
        <w:pStyle w:val="aa"/>
        <w:rPr>
          <w:rFonts w:ascii="David" w:hAnsi="David"/>
          <w:b/>
          <w:bCs/>
          <w:rtl/>
        </w:rPr>
      </w:pPr>
    </w:p>
    <w:p w:rsidR="008B0FB2" w:rsidRDefault="008B0FB2" w:rsidP="008B0FB2">
      <w:pPr>
        <w:pStyle w:val="aa"/>
        <w:rPr>
          <w:rFonts w:ascii="David" w:hAnsi="David"/>
          <w:b/>
          <w:bCs/>
          <w:rtl/>
        </w:rPr>
      </w:pPr>
    </w:p>
    <w:p w:rsidR="008B0FB2" w:rsidRDefault="008B0FB2" w:rsidP="008B0FB2">
      <w:pPr>
        <w:pStyle w:val="aa"/>
        <w:rPr>
          <w:rFonts w:ascii="David" w:hAnsi="David"/>
          <w:b/>
          <w:bCs/>
        </w:rPr>
      </w:pPr>
    </w:p>
    <w:p w:rsidR="008B0FB2" w:rsidRDefault="008B0FB2" w:rsidP="008B0FB2">
      <w:pPr>
        <w:pStyle w:val="aa"/>
        <w:numPr>
          <w:ilvl w:val="3"/>
          <w:numId w:val="1"/>
        </w:numPr>
        <w:spacing w:line="360" w:lineRule="auto"/>
        <w:jc w:val="both"/>
        <w:rPr>
          <w:rFonts w:ascii="David" w:hAnsi="David"/>
          <w:b/>
          <w:bCs/>
          <w:rtl/>
        </w:rPr>
      </w:pPr>
      <w:r>
        <w:rPr>
          <w:rtl/>
        </w:rPr>
        <w:lastRenderedPageBreak/>
        <w:t xml:space="preserve">הנתבע נשאל על כך </w:t>
      </w:r>
      <w:r>
        <w:rPr>
          <w:b/>
          <w:bCs/>
          <w:rtl/>
        </w:rPr>
        <w:t>בחקירתו</w:t>
      </w:r>
      <w:r>
        <w:rPr>
          <w:rtl/>
        </w:rPr>
        <w:t xml:space="preserve">, והסביר כי את כתב ההגנה כתב עורך דינו בהתאם לפרשנותו את דבריו, </w:t>
      </w:r>
      <w:r>
        <w:rPr>
          <w:rFonts w:ascii="David" w:hAnsi="David"/>
          <w:rtl/>
        </w:rPr>
        <w:t>וכי הוא עצמו לא אישר את הדברים האמורים בו ולכן נכתבו דברים שאינם מדויקים:</w:t>
      </w:r>
    </w:p>
    <w:p w:rsidR="008B0FB2" w:rsidRDefault="008B0FB2" w:rsidP="008B0FB2">
      <w:pPr>
        <w:pStyle w:val="1"/>
        <w:shd w:val="clear" w:color="auto" w:fill="auto"/>
        <w:spacing w:line="360" w:lineRule="auto"/>
        <w:ind w:left="567" w:firstLine="0"/>
        <w:jc w:val="both"/>
        <w:rPr>
          <w:rFonts w:ascii="David" w:hAnsi="David" w:cs="David"/>
          <w:sz w:val="24"/>
          <w:szCs w:val="24"/>
          <w:u w:val="none"/>
        </w:rPr>
      </w:pPr>
      <w:r>
        <w:rPr>
          <w:rFonts w:ascii="David" w:hAnsi="David" w:cs="David"/>
          <w:b w:val="0"/>
          <w:bCs w:val="0"/>
          <w:sz w:val="24"/>
          <w:szCs w:val="24"/>
          <w:u w:val="none"/>
          <w:rtl/>
        </w:rPr>
        <w:t>"</w:t>
      </w:r>
      <w:r>
        <w:rPr>
          <w:rFonts w:ascii="David" w:hAnsi="David" w:cs="David"/>
          <w:sz w:val="24"/>
          <w:szCs w:val="24"/>
          <w:u w:val="none"/>
          <w:rtl/>
        </w:rPr>
        <w:t xml:space="preserve">עו"ד פרחיה: תגיד לי, למה </w:t>
      </w:r>
      <w:bookmarkStart w:id="0" w:name="_ETM_Q_1771264"/>
      <w:bookmarkEnd w:id="0"/>
      <w:r>
        <w:rPr>
          <w:rFonts w:ascii="David" w:hAnsi="David" w:cs="David"/>
          <w:sz w:val="24"/>
          <w:szCs w:val="24"/>
          <w:u w:val="none"/>
          <w:rtl/>
        </w:rPr>
        <w:t xml:space="preserve">בסעיף 48 לכתב ההגנה שלך אתה אומר הפוך ממה שאתה אומר </w:t>
      </w:r>
      <w:bookmarkStart w:id="1" w:name="_ETM_Q_1772931"/>
      <w:bookmarkEnd w:id="1"/>
      <w:r>
        <w:rPr>
          <w:rFonts w:ascii="David" w:hAnsi="David" w:cs="David"/>
          <w:sz w:val="24"/>
          <w:szCs w:val="24"/>
          <w:u w:val="none"/>
          <w:rtl/>
        </w:rPr>
        <w:t>לי עכשיו?</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bookmarkStart w:id="2" w:name="_ETM_Q_1780397"/>
      <w:bookmarkEnd w:id="2"/>
      <w:r>
        <w:rPr>
          <w:rFonts w:ascii="David" w:hAnsi="David" w:cs="David"/>
          <w:sz w:val="24"/>
          <w:szCs w:val="24"/>
          <w:u w:val="none"/>
          <w:rtl/>
        </w:rPr>
        <w:t>[...]</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 xml:space="preserve">העד, מר </w:t>
      </w:r>
      <w:r>
        <w:rPr>
          <w:rFonts w:ascii="David" w:hAnsi="David" w:cs="David" w:hint="cs"/>
          <w:sz w:val="24"/>
          <w:szCs w:val="24"/>
          <w:u w:val="none"/>
          <w:rtl/>
        </w:rPr>
        <w:t>***</w:t>
      </w:r>
      <w:r>
        <w:rPr>
          <w:rFonts w:ascii="David" w:hAnsi="David" w:cs="David"/>
          <w:sz w:val="24"/>
          <w:szCs w:val="24"/>
          <w:u w:val="none"/>
          <w:rtl/>
        </w:rPr>
        <w:t xml:space="preserve">: אני לא </w:t>
      </w:r>
      <w:bookmarkStart w:id="3" w:name="_ETM_Q_1781066"/>
      <w:bookmarkEnd w:id="3"/>
      <w:r>
        <w:rPr>
          <w:rFonts w:ascii="David" w:hAnsi="David" w:cs="David"/>
          <w:sz w:val="24"/>
          <w:szCs w:val="24"/>
          <w:u w:val="none"/>
          <w:rtl/>
        </w:rPr>
        <w:t xml:space="preserve">חתום על כתב ההגנה הזה. </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w:t>
      </w:r>
    </w:p>
    <w:p w:rsidR="008B0FB2" w:rsidRDefault="008B0FB2" w:rsidP="008B0FB2">
      <w:pPr>
        <w:pStyle w:val="1"/>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עו"ד פרחיה: הבנתי. אני אקריא לך את סעיף 48 לכתב ההגנה שלך.</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העד, מר ***: כן?</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 xml:space="preserve">עו"ד פרחיה: אתה </w:t>
      </w:r>
      <w:bookmarkStart w:id="4" w:name="_ETM_Q_93558"/>
      <w:bookmarkEnd w:id="4"/>
      <w:r>
        <w:rPr>
          <w:rFonts w:ascii="David" w:hAnsi="David" w:cs="David"/>
          <w:sz w:val="24"/>
          <w:szCs w:val="24"/>
          <w:u w:val="none"/>
          <w:rtl/>
        </w:rPr>
        <w:t xml:space="preserve">כותב שם "בשנת 2013 כאשר התובעת העבירה לנתבע את הכסף", </w:t>
      </w:r>
      <w:bookmarkStart w:id="5" w:name="_ETM_Q_99477"/>
      <w:bookmarkEnd w:id="5"/>
      <w:r>
        <w:rPr>
          <w:rFonts w:ascii="David" w:hAnsi="David" w:cs="David"/>
          <w:sz w:val="24"/>
          <w:szCs w:val="24"/>
          <w:u w:val="none"/>
          <w:rtl/>
        </w:rPr>
        <w:t>התובעת.</w:t>
      </w:r>
    </w:p>
    <w:p w:rsidR="008B0FB2" w:rsidRDefault="008B0FB2" w:rsidP="008B0FB2">
      <w:pPr>
        <w:pStyle w:val="1"/>
        <w:shd w:val="clear" w:color="auto" w:fill="auto"/>
        <w:spacing w:line="360" w:lineRule="auto"/>
        <w:ind w:left="567" w:firstLine="0"/>
        <w:jc w:val="both"/>
        <w:rPr>
          <w:rFonts w:ascii="David" w:hAnsi="David" w:cs="David"/>
          <w:sz w:val="24"/>
          <w:szCs w:val="24"/>
          <w:rtl/>
        </w:rPr>
      </w:pPr>
      <w:r>
        <w:rPr>
          <w:rFonts w:ascii="David" w:hAnsi="David" w:cs="David"/>
          <w:sz w:val="24"/>
          <w:szCs w:val="24"/>
          <w:rtl/>
        </w:rPr>
        <w:t>העד, מר ***: זה פרשנות, זה מה שאני מסביר לך שאני לא חתום על התצהיר הזה.</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עו"ד פרחיה: לא חתום, הבנתי.</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 xml:space="preserve">העד, מר ***: אני חתום על התצהיר הזה? </w:t>
      </w:r>
      <w:bookmarkStart w:id="6" w:name="_ETM_Q_105718"/>
      <w:bookmarkEnd w:id="6"/>
      <w:r>
        <w:rPr>
          <w:rFonts w:ascii="David" w:hAnsi="David" w:cs="David"/>
          <w:sz w:val="24"/>
          <w:szCs w:val="24"/>
          <w:u w:val="none"/>
          <w:rtl/>
        </w:rPr>
        <w:t xml:space="preserve">אני לא חתום על התצהיר הזה. גברתי שאלה אותי האם </w:t>
      </w:r>
      <w:bookmarkStart w:id="7" w:name="_ETM_Q_109530"/>
      <w:bookmarkEnd w:id="7"/>
      <w:r>
        <w:rPr>
          <w:rFonts w:ascii="David" w:hAnsi="David" w:cs="David"/>
          <w:sz w:val="24"/>
          <w:szCs w:val="24"/>
          <w:u w:val="none"/>
          <w:rtl/>
        </w:rPr>
        <w:t>אני מאשר את מה שכתוב פה, אני לא יכולת</w:t>
      </w:r>
      <w:bookmarkStart w:id="8" w:name="_ETM_Q_109097"/>
      <w:bookmarkEnd w:id="8"/>
      <w:r>
        <w:rPr>
          <w:rFonts w:ascii="David" w:hAnsi="David" w:cs="David"/>
          <w:sz w:val="24"/>
          <w:szCs w:val="24"/>
          <w:u w:val="none"/>
          <w:rtl/>
        </w:rPr>
        <w:t xml:space="preserve">י להעמיד אדם במצב לא נעים, בגלל זה אנחנו, בגלל </w:t>
      </w:r>
      <w:bookmarkStart w:id="9" w:name="_ETM_Q_113116"/>
      <w:bookmarkEnd w:id="9"/>
      <w:r>
        <w:rPr>
          <w:rFonts w:ascii="David" w:hAnsi="David" w:cs="David"/>
          <w:sz w:val="24"/>
          <w:szCs w:val="24"/>
          <w:u w:val="none"/>
          <w:rtl/>
        </w:rPr>
        <w:t>זה אני עם עורך הדין הזה ולא עם עורך דין</w:t>
      </w:r>
      <w:bookmarkStart w:id="10" w:name="_ETM_Q_117242"/>
      <w:bookmarkEnd w:id="10"/>
      <w:r>
        <w:rPr>
          <w:rFonts w:ascii="David" w:hAnsi="David" w:cs="David"/>
          <w:sz w:val="24"/>
          <w:szCs w:val="24"/>
          <w:u w:val="none"/>
          <w:rtl/>
        </w:rPr>
        <w:t xml:space="preserve"> אחר פה.</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עו"ד פרחיה: הבנתי.</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 xml:space="preserve">העד, מר ***: אני פשוט אומר עוד פעם, אני מוכן להגיד לגברתי </w:t>
      </w:r>
      <w:bookmarkStart w:id="11" w:name="_ETM_Q_118737"/>
      <w:bookmarkEnd w:id="11"/>
      <w:r>
        <w:rPr>
          <w:rFonts w:ascii="David" w:hAnsi="David" w:cs="David"/>
          <w:sz w:val="24"/>
          <w:szCs w:val="24"/>
          <w:u w:val="none"/>
          <w:rtl/>
        </w:rPr>
        <w:t xml:space="preserve">את הסיבה, אבל אני פשוט לא הייתי, אני הגעתי לפה ואני ביקשתי מעורך הדין אם אפשר לבטל את הדיון, פשוט לא יכולתי, לא יכולתי לתפקד באותה </w:t>
      </w:r>
      <w:bookmarkStart w:id="12" w:name="_ETM_Q_126728"/>
      <w:bookmarkEnd w:id="12"/>
      <w:r>
        <w:rPr>
          <w:rFonts w:ascii="David" w:hAnsi="David" w:cs="David"/>
          <w:sz w:val="24"/>
          <w:szCs w:val="24"/>
          <w:u w:val="none"/>
          <w:rtl/>
        </w:rPr>
        <w:t xml:space="preserve">תקופה בכלל. </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עו"ד פרחיה: עכשיו בוא תסביר לי, עורך הדין שלך המציא</w:t>
      </w:r>
      <w:bookmarkStart w:id="13" w:name="_ETM_Q_131625"/>
      <w:bookmarkEnd w:id="13"/>
      <w:r>
        <w:rPr>
          <w:rFonts w:ascii="David" w:hAnsi="David" w:cs="David"/>
          <w:sz w:val="24"/>
          <w:szCs w:val="24"/>
          <w:u w:val="none"/>
          <w:rtl/>
        </w:rPr>
        <w:t xml:space="preserve"> את מה שכתוב בסעיף 10 לכתב ההגנה,</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 xml:space="preserve">עו"ד פרחיה: הוא כותב שם "הכספים שהעבירה התובעת", </w:t>
      </w:r>
      <w:bookmarkStart w:id="14" w:name="_ETM_Q_157878"/>
      <w:bookmarkEnd w:id="14"/>
      <w:r>
        <w:rPr>
          <w:rFonts w:ascii="David" w:hAnsi="David" w:cs="David"/>
          <w:sz w:val="24"/>
          <w:szCs w:val="24"/>
          <w:u w:val="none"/>
          <w:rtl/>
        </w:rPr>
        <w:t>התובעת לא,</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העד, מר ***: כן, אבל זו הפרשנות (מדברים ביחד),</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w:t>
      </w:r>
    </w:p>
    <w:p w:rsidR="008B0FB2" w:rsidRDefault="008B0FB2" w:rsidP="008B0FB2">
      <w:pPr>
        <w:pStyle w:val="1"/>
        <w:shd w:val="clear" w:color="auto" w:fill="auto"/>
        <w:spacing w:line="360" w:lineRule="auto"/>
        <w:ind w:left="567" w:firstLine="0"/>
        <w:jc w:val="both"/>
        <w:rPr>
          <w:rFonts w:ascii="David" w:hAnsi="David" w:cs="David"/>
          <w:sz w:val="24"/>
          <w:szCs w:val="24"/>
          <w:rtl/>
        </w:rPr>
      </w:pPr>
      <w:r>
        <w:rPr>
          <w:rFonts w:ascii="David" w:hAnsi="David" w:cs="David"/>
          <w:sz w:val="24"/>
          <w:szCs w:val="24"/>
          <w:u w:val="none"/>
          <w:rtl/>
        </w:rPr>
        <w:t xml:space="preserve">עו"ד פרחיה: "התובעת לנתבע מושא כתב הגנה זה, היוו </w:t>
      </w:r>
      <w:bookmarkStart w:id="15" w:name="_ETM_Q_167343"/>
      <w:bookmarkEnd w:id="15"/>
      <w:r>
        <w:rPr>
          <w:rFonts w:ascii="David" w:hAnsi="David" w:cs="David"/>
          <w:sz w:val="24"/>
          <w:szCs w:val="24"/>
          <w:u w:val="none"/>
          <w:rtl/>
        </w:rPr>
        <w:t xml:space="preserve">בפועל תשלום של התובעת עבור בתה". </w:t>
      </w:r>
      <w:r>
        <w:rPr>
          <w:rFonts w:ascii="David" w:hAnsi="David" w:cs="David"/>
          <w:sz w:val="24"/>
          <w:szCs w:val="24"/>
          <w:rtl/>
        </w:rPr>
        <w:t xml:space="preserve">עכשיו תשמע, כדי שהוא יידע שזה תשלום שאתה טוען שזה תשלום של התובעת </w:t>
      </w:r>
      <w:bookmarkStart w:id="16" w:name="_ETM_Q_173970"/>
      <w:bookmarkEnd w:id="16"/>
      <w:r>
        <w:rPr>
          <w:rFonts w:ascii="David" w:hAnsi="David" w:cs="David"/>
          <w:sz w:val="24"/>
          <w:szCs w:val="24"/>
          <w:rtl/>
        </w:rPr>
        <w:t>עבור בתה,</w:t>
      </w:r>
    </w:p>
    <w:p w:rsidR="008B0FB2" w:rsidRDefault="008B0FB2" w:rsidP="008B0FB2">
      <w:pPr>
        <w:pStyle w:val="1"/>
        <w:shd w:val="clear" w:color="auto" w:fill="auto"/>
        <w:spacing w:line="360" w:lineRule="auto"/>
        <w:ind w:left="567" w:firstLine="0"/>
        <w:jc w:val="both"/>
        <w:rPr>
          <w:rFonts w:ascii="David" w:hAnsi="David" w:cs="David"/>
          <w:sz w:val="24"/>
          <w:szCs w:val="24"/>
          <w:rtl/>
        </w:rPr>
      </w:pPr>
      <w:r>
        <w:rPr>
          <w:rFonts w:ascii="David" w:hAnsi="David" w:cs="David"/>
          <w:sz w:val="24"/>
          <w:szCs w:val="24"/>
          <w:rtl/>
        </w:rPr>
        <w:t>[...]</w:t>
      </w:r>
    </w:p>
    <w:p w:rsidR="008B0FB2" w:rsidRDefault="008B0FB2" w:rsidP="008B0FB2">
      <w:pPr>
        <w:pStyle w:val="1"/>
        <w:shd w:val="clear" w:color="auto" w:fill="auto"/>
        <w:spacing w:line="360" w:lineRule="auto"/>
        <w:ind w:left="567" w:firstLine="0"/>
        <w:jc w:val="both"/>
        <w:rPr>
          <w:rFonts w:ascii="David" w:hAnsi="David" w:cs="David"/>
          <w:sz w:val="24"/>
          <w:szCs w:val="24"/>
          <w:rtl/>
        </w:rPr>
      </w:pPr>
      <w:r>
        <w:rPr>
          <w:rFonts w:ascii="David" w:hAnsi="David" w:cs="David"/>
          <w:sz w:val="24"/>
          <w:szCs w:val="24"/>
          <w:rtl/>
        </w:rPr>
        <w:t xml:space="preserve">עו"ד פרחיה: מישהו צריך לתת </w:t>
      </w:r>
      <w:bookmarkStart w:id="17" w:name="_ETM_Q_181608"/>
      <w:bookmarkEnd w:id="17"/>
      <w:r>
        <w:rPr>
          <w:rFonts w:ascii="David" w:hAnsi="David" w:cs="David"/>
          <w:sz w:val="24"/>
          <w:szCs w:val="24"/>
          <w:rtl/>
        </w:rPr>
        <w:t>לו איזושהי אינפורמציה. הוא לא יכול להמציא את זה לבד.</w:t>
      </w:r>
    </w:p>
    <w:p w:rsidR="008B0FB2" w:rsidRDefault="008B0FB2" w:rsidP="008B0FB2">
      <w:pPr>
        <w:pStyle w:val="1"/>
        <w:shd w:val="clear" w:color="auto" w:fill="auto"/>
        <w:spacing w:line="360" w:lineRule="auto"/>
        <w:ind w:left="567" w:firstLine="0"/>
        <w:jc w:val="both"/>
        <w:rPr>
          <w:rFonts w:ascii="David" w:hAnsi="David" w:cs="David"/>
          <w:sz w:val="24"/>
          <w:szCs w:val="24"/>
          <w:rtl/>
        </w:rPr>
      </w:pPr>
      <w:r>
        <w:rPr>
          <w:rFonts w:ascii="David" w:hAnsi="David" w:cs="David"/>
          <w:sz w:val="24"/>
          <w:szCs w:val="24"/>
          <w:rtl/>
        </w:rPr>
        <w:t xml:space="preserve">העד, מר ***: אני </w:t>
      </w:r>
      <w:bookmarkStart w:id="18" w:name="_ETM_Q_187203"/>
      <w:bookmarkEnd w:id="18"/>
      <w:r>
        <w:rPr>
          <w:rFonts w:ascii="David" w:hAnsi="David" w:cs="David"/>
          <w:sz w:val="24"/>
          <w:szCs w:val="24"/>
          <w:rtl/>
        </w:rPr>
        <w:t>מסכים איתך, נו?</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עו"ד פרחיה: כן?</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 xml:space="preserve">העד, מר ***: אני מסכים איתך. אבל אני אומר לך עוד </w:t>
      </w:r>
      <w:bookmarkStart w:id="19" w:name="_ETM_Q_191431"/>
      <w:bookmarkEnd w:id="19"/>
      <w:r>
        <w:rPr>
          <w:rFonts w:ascii="David" w:hAnsi="David" w:cs="David"/>
          <w:sz w:val="24"/>
          <w:szCs w:val="24"/>
          <w:u w:val="none"/>
          <w:rtl/>
        </w:rPr>
        <w:t>פעם,</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עו"ד פרחיה: כן?</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lastRenderedPageBreak/>
        <w:t>העד, מר ***: מה שסיפרתי מקודם, סיפרתי לי את זה גם לו, אוקיי?</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עו"ד פרחיה: כן?</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העד, מר ***: עכשי</w:t>
      </w:r>
      <w:bookmarkStart w:id="20" w:name="_ETM_Q_195283"/>
      <w:bookmarkEnd w:id="20"/>
      <w:r>
        <w:rPr>
          <w:rFonts w:ascii="David" w:hAnsi="David" w:cs="David"/>
          <w:sz w:val="24"/>
          <w:szCs w:val="24"/>
          <w:u w:val="none"/>
          <w:rtl/>
        </w:rPr>
        <w:t>ו הוא הבין שאני ביקשתי את הכספים מ***,</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עו"ד פרחיה: כן?</w:t>
      </w:r>
    </w:p>
    <w:p w:rsidR="008B0FB2" w:rsidRDefault="008B0FB2" w:rsidP="008B0FB2">
      <w:pPr>
        <w:pStyle w:val="1"/>
        <w:shd w:val="clear" w:color="auto" w:fill="auto"/>
        <w:spacing w:line="360" w:lineRule="auto"/>
        <w:ind w:left="567" w:firstLine="0"/>
        <w:jc w:val="both"/>
        <w:rPr>
          <w:rFonts w:ascii="David" w:hAnsi="David" w:cs="David"/>
          <w:sz w:val="24"/>
          <w:szCs w:val="24"/>
          <w:rtl/>
        </w:rPr>
      </w:pPr>
      <w:r>
        <w:rPr>
          <w:rFonts w:ascii="David" w:hAnsi="David" w:cs="David"/>
          <w:sz w:val="24"/>
          <w:szCs w:val="24"/>
          <w:rtl/>
        </w:rPr>
        <w:t xml:space="preserve">העד, מר ***: אוקיי? הוא הבין </w:t>
      </w:r>
      <w:bookmarkStart w:id="21" w:name="_ETM_Q_201329"/>
      <w:bookmarkEnd w:id="21"/>
      <w:r>
        <w:rPr>
          <w:rFonts w:ascii="David" w:hAnsi="David" w:cs="David"/>
          <w:sz w:val="24"/>
          <w:szCs w:val="24"/>
          <w:rtl/>
        </w:rPr>
        <w:t xml:space="preserve">ש*** הייתה אמורה לתת לי את הכספים. הוא הבין בשלב יותר מאוחר שהתובעת היא זו שהכסף יצא ממנה. אבל יש </w:t>
      </w:r>
      <w:bookmarkStart w:id="22" w:name="_ETM_Q_207712"/>
      <w:bookmarkEnd w:id="22"/>
      <w:r>
        <w:rPr>
          <w:rFonts w:ascii="David" w:hAnsi="David" w:cs="David"/>
          <w:sz w:val="24"/>
          <w:szCs w:val="24"/>
          <w:rtl/>
        </w:rPr>
        <w:t xml:space="preserve">פה פרשנות של הדברים, אני אומר לך, אני מסביר לך </w:t>
      </w:r>
      <w:bookmarkStart w:id="23" w:name="_ETM_Q_211578"/>
      <w:bookmarkEnd w:id="23"/>
      <w:r>
        <w:rPr>
          <w:rFonts w:ascii="David" w:hAnsi="David" w:cs="David"/>
          <w:sz w:val="24"/>
          <w:szCs w:val="24"/>
          <w:rtl/>
        </w:rPr>
        <w:t xml:space="preserve">עוד פעם. אני לא חתום. הרי בו, אתה מכיר, עורך </w:t>
      </w:r>
      <w:bookmarkStart w:id="24" w:name="_ETM_Q_212106"/>
      <w:bookmarkEnd w:id="24"/>
      <w:r>
        <w:rPr>
          <w:rFonts w:ascii="David" w:hAnsi="David" w:cs="David"/>
          <w:sz w:val="24"/>
          <w:szCs w:val="24"/>
          <w:rtl/>
        </w:rPr>
        <w:t xml:space="preserve">דין מצוין, אני לא חתום על התצהיר הזה, אין </w:t>
      </w:r>
      <w:bookmarkStart w:id="25" w:name="_ETM_Q_216194"/>
      <w:bookmarkEnd w:id="25"/>
      <w:r>
        <w:rPr>
          <w:rFonts w:ascii="David" w:hAnsi="David" w:cs="David"/>
          <w:sz w:val="24"/>
          <w:szCs w:val="24"/>
          <w:rtl/>
        </w:rPr>
        <w:t>חתימה שלי על התצהיר הזה.</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 xml:space="preserve">העד, מר ***: רק הוא </w:t>
      </w:r>
      <w:bookmarkStart w:id="26" w:name="_ETM_Q_228521"/>
      <w:bookmarkEnd w:id="26"/>
      <w:r>
        <w:rPr>
          <w:rFonts w:ascii="David" w:hAnsi="David" w:cs="David"/>
          <w:sz w:val="24"/>
          <w:szCs w:val="24"/>
          <w:u w:val="none"/>
          <w:rtl/>
        </w:rPr>
        <w:t>עשה פרשנות של הדברים פה בדבר הזה."</w:t>
      </w:r>
      <w:r>
        <w:rPr>
          <w:rFonts w:ascii="David" w:hAnsi="David" w:cs="David"/>
          <w:b w:val="0"/>
          <w:bCs w:val="0"/>
          <w:sz w:val="24"/>
          <w:szCs w:val="24"/>
          <w:u w:val="none"/>
          <w:rtl/>
        </w:rPr>
        <w:t xml:space="preserve"> (ההדגשות בקו הוספו).</w:t>
      </w:r>
    </w:p>
    <w:p w:rsidR="008B0FB2" w:rsidRDefault="008B0FB2" w:rsidP="008B0FB2">
      <w:pPr>
        <w:pStyle w:val="1"/>
        <w:shd w:val="clear" w:color="auto" w:fill="auto"/>
        <w:spacing w:line="360" w:lineRule="auto"/>
        <w:ind w:left="567" w:firstLine="0"/>
        <w:jc w:val="both"/>
        <w:rPr>
          <w:rFonts w:ascii="David" w:hAnsi="David" w:cs="David"/>
          <w:b w:val="0"/>
          <w:bCs w:val="0"/>
          <w:sz w:val="24"/>
          <w:szCs w:val="24"/>
          <w:u w:val="none"/>
          <w:rtl/>
        </w:rPr>
      </w:pPr>
      <w:r>
        <w:rPr>
          <w:rFonts w:ascii="David" w:hAnsi="David" w:cs="David"/>
          <w:b w:val="0"/>
          <w:bCs w:val="0"/>
          <w:sz w:val="24"/>
          <w:szCs w:val="24"/>
          <w:u w:val="none"/>
          <w:rtl/>
        </w:rPr>
        <w:t>(ראו: פרוט' מיום 16.2.2023, עמ' 62, שורות 34-33; עמ' 33, שורות 5-1; עמ' 65-64).</w:t>
      </w:r>
    </w:p>
    <w:p w:rsidR="008B0FB2" w:rsidRDefault="008B0FB2" w:rsidP="008B0FB2">
      <w:pPr>
        <w:pStyle w:val="aa"/>
        <w:spacing w:line="360" w:lineRule="auto"/>
        <w:ind w:left="567"/>
        <w:jc w:val="both"/>
        <w:rPr>
          <w:rFonts w:ascii="David" w:hAnsi="David"/>
          <w:b/>
          <w:bCs/>
          <w:rtl/>
        </w:rPr>
      </w:pPr>
    </w:p>
    <w:p w:rsidR="008B0FB2" w:rsidRDefault="008B0FB2" w:rsidP="008B0FB2">
      <w:pPr>
        <w:pStyle w:val="aa"/>
        <w:numPr>
          <w:ilvl w:val="3"/>
          <w:numId w:val="1"/>
        </w:numPr>
        <w:spacing w:line="360" w:lineRule="auto"/>
        <w:jc w:val="both"/>
        <w:rPr>
          <w:rFonts w:ascii="David" w:hAnsi="David"/>
          <w:b/>
          <w:bCs/>
        </w:rPr>
      </w:pPr>
      <w:r>
        <w:rPr>
          <w:rtl/>
        </w:rPr>
        <w:t xml:space="preserve">מעבר לכך, באשר לאסמכתאות המהוות את שתי ההעברות </w:t>
      </w:r>
      <w:r>
        <w:rPr>
          <w:u w:val="single"/>
          <w:rtl/>
        </w:rPr>
        <w:t>מצידו</w:t>
      </w:r>
      <w:r>
        <w:rPr>
          <w:rtl/>
        </w:rPr>
        <w:t xml:space="preserve"> לחשבון הבנק של התובעת בהן צויין "החזר הלוואה", </w:t>
      </w:r>
      <w:r>
        <w:rPr>
          <w:b/>
          <w:bCs/>
          <w:rtl/>
        </w:rPr>
        <w:t>הנתבע</w:t>
      </w:r>
      <w:r>
        <w:rPr>
          <w:rtl/>
        </w:rPr>
        <w:t xml:space="preserve"> טען </w:t>
      </w:r>
      <w:r>
        <w:rPr>
          <w:b/>
          <w:bCs/>
          <w:rtl/>
        </w:rPr>
        <w:t>בחקירתו</w:t>
      </w:r>
      <w:r>
        <w:rPr>
          <w:rtl/>
        </w:rPr>
        <w:t xml:space="preserve"> כי </w:t>
      </w:r>
      <w:r>
        <w:rPr>
          <w:b/>
          <w:bCs/>
          <w:rtl/>
        </w:rPr>
        <w:t>מחד</w:t>
      </w:r>
      <w:r>
        <w:rPr>
          <w:rtl/>
        </w:rPr>
        <w:t xml:space="preserve">, כי הוא עשה זאת מהסיבה שהבת לחצה עליו תקופה ממושכת להחזיר הלוואה שקיבל מהאם, </w:t>
      </w:r>
      <w:r>
        <w:rPr>
          <w:b/>
          <w:bCs/>
          <w:rtl/>
        </w:rPr>
        <w:t>ומאידך</w:t>
      </w:r>
      <w:r>
        <w:rPr>
          <w:rtl/>
        </w:rPr>
        <w:t xml:space="preserve"> טען כי פעל באופן אוטומטי מבלי להבין את הסיבה או המשמעות של פעולתו:</w:t>
      </w:r>
    </w:p>
    <w:p w:rsidR="008B0FB2" w:rsidRDefault="008B0FB2" w:rsidP="008B0FB2">
      <w:pPr>
        <w:pStyle w:val="1"/>
        <w:shd w:val="clear" w:color="auto" w:fill="auto"/>
        <w:spacing w:line="360" w:lineRule="auto"/>
        <w:ind w:left="567" w:firstLine="0"/>
        <w:jc w:val="both"/>
        <w:rPr>
          <w:b w:val="0"/>
          <w:bCs w:val="0"/>
          <w:sz w:val="24"/>
          <w:szCs w:val="24"/>
          <w:u w:val="none"/>
        </w:rPr>
      </w:pPr>
      <w:r>
        <w:rPr>
          <w:rFonts w:ascii="David" w:hAnsi="David"/>
          <w:u w:val="none"/>
          <w:rtl/>
        </w:rPr>
        <w:t>"</w:t>
      </w:r>
      <w:r>
        <w:rPr>
          <w:rFonts w:ascii="David" w:hAnsi="David" w:cs="David"/>
          <w:sz w:val="24"/>
          <w:szCs w:val="24"/>
          <w:u w:val="none"/>
          <w:rtl/>
        </w:rPr>
        <w:t xml:space="preserve">העד, מר ***: עשינו הסכם בשלב מסוים ב2017. לאחר ההסכם </w:t>
      </w:r>
      <w:bookmarkStart w:id="27" w:name="_ETM_Q_336019"/>
      <w:bookmarkEnd w:id="27"/>
      <w:r>
        <w:rPr>
          <w:rFonts w:ascii="David" w:hAnsi="David" w:cs="David"/>
          <w:sz w:val="24"/>
          <w:szCs w:val="24"/>
          <w:u w:val="none"/>
          <w:rtl/>
        </w:rPr>
        <w:t xml:space="preserve">בכלל, אני לא רוצה להרחיב פה את הדיבור </w:t>
      </w:r>
      <w:bookmarkStart w:id="28" w:name="_ETM_Q_340333"/>
      <w:bookmarkEnd w:id="28"/>
      <w:r>
        <w:rPr>
          <w:rFonts w:ascii="David" w:hAnsi="David" w:cs="David"/>
          <w:sz w:val="24"/>
          <w:szCs w:val="24"/>
          <w:u w:val="none"/>
          <w:rtl/>
        </w:rPr>
        <w:t xml:space="preserve">על מה היה במערכת היחסים שלנו ומה קרה שם </w:t>
      </w:r>
      <w:bookmarkStart w:id="29" w:name="_ETM_Q_344081"/>
      <w:bookmarkEnd w:id="29"/>
      <w:r>
        <w:rPr>
          <w:rFonts w:ascii="David" w:hAnsi="David" w:cs="David"/>
          <w:sz w:val="24"/>
          <w:szCs w:val="24"/>
          <w:u w:val="none"/>
          <w:rtl/>
        </w:rPr>
        <w:t xml:space="preserve">ועל ההתנהלות של ***. ואני יכול להגיד לך שלמרות כל </w:t>
      </w:r>
      <w:bookmarkStart w:id="30" w:name="_ETM_Q_347706"/>
      <w:bookmarkEnd w:id="30"/>
      <w:r>
        <w:rPr>
          <w:rFonts w:ascii="David" w:hAnsi="David" w:cs="David"/>
          <w:sz w:val="24"/>
          <w:szCs w:val="24"/>
          <w:u w:val="none"/>
          <w:rtl/>
        </w:rPr>
        <w:t xml:space="preserve">זאת ניסיתי בכל כוחי למנוע מצב שהמשפחה הזאת תתפרק. </w:t>
      </w:r>
      <w:bookmarkStart w:id="31" w:name="_ETM_Q_354271"/>
      <w:bookmarkEnd w:id="31"/>
      <w:r>
        <w:rPr>
          <w:rFonts w:ascii="David" w:hAnsi="David" w:cs="David"/>
          <w:sz w:val="24"/>
          <w:szCs w:val="24"/>
          <w:u w:val="none"/>
          <w:rtl/>
        </w:rPr>
        <w:t>ו</w:t>
      </w:r>
      <w:r>
        <w:rPr>
          <w:rFonts w:ascii="David" w:hAnsi="David" w:cs="David" w:hint="cs"/>
          <w:sz w:val="24"/>
          <w:szCs w:val="24"/>
          <w:u w:val="none"/>
          <w:rtl/>
        </w:rPr>
        <w:t>***</w:t>
      </w:r>
      <w:r>
        <w:rPr>
          <w:rFonts w:ascii="David" w:hAnsi="David" w:cs="David"/>
          <w:sz w:val="24"/>
          <w:szCs w:val="24"/>
          <w:u w:val="none"/>
          <w:rtl/>
        </w:rPr>
        <w:t xml:space="preserve"> יודעת מזה. ניסיתי בכל כוחי למנוע מצב שהמשפחה תתפרק, גם </w:t>
      </w:r>
      <w:bookmarkStart w:id="32" w:name="_ETM_Q_359004"/>
      <w:bookmarkEnd w:id="32"/>
      <w:r>
        <w:rPr>
          <w:rFonts w:ascii="David" w:hAnsi="David" w:cs="David"/>
          <w:sz w:val="24"/>
          <w:szCs w:val="24"/>
          <w:u w:val="none"/>
          <w:rtl/>
        </w:rPr>
        <w:t xml:space="preserve">אם שילמתי מחיר אישי. </w:t>
      </w:r>
      <w:r>
        <w:rPr>
          <w:rFonts w:ascii="David" w:hAnsi="David" w:cs="David"/>
          <w:sz w:val="24"/>
          <w:szCs w:val="24"/>
          <w:rtl/>
        </w:rPr>
        <w:t xml:space="preserve">עד שלב מסוים שלא יכולתי יותר </w:t>
      </w:r>
      <w:bookmarkStart w:id="33" w:name="_ETM_Q_360348"/>
      <w:bookmarkEnd w:id="33"/>
      <w:r>
        <w:rPr>
          <w:rFonts w:ascii="David" w:hAnsi="David" w:cs="David"/>
          <w:sz w:val="24"/>
          <w:szCs w:val="24"/>
          <w:rtl/>
        </w:rPr>
        <w:t xml:space="preserve">לשאת את ההתנהלות של ***, שזה לא לענייננו, אבל היא </w:t>
      </w:r>
      <w:bookmarkStart w:id="34" w:name="_ETM_Q_365768"/>
      <w:bookmarkEnd w:id="34"/>
      <w:r>
        <w:rPr>
          <w:rFonts w:ascii="David" w:hAnsi="David" w:cs="David"/>
          <w:sz w:val="24"/>
          <w:szCs w:val="24"/>
          <w:rtl/>
        </w:rPr>
        <w:t xml:space="preserve">ביקשה ממני, והרגשתי שזה חלק מלחץ שהיא מעבירה עליי </w:t>
      </w:r>
      <w:bookmarkStart w:id="35" w:name="_ETM_Q_372526"/>
      <w:bookmarkEnd w:id="35"/>
      <w:r>
        <w:rPr>
          <w:rFonts w:ascii="David" w:hAnsi="David" w:cs="David"/>
          <w:sz w:val="24"/>
          <w:szCs w:val="24"/>
          <w:rtl/>
        </w:rPr>
        <w:t xml:space="preserve">שכביכול זה, אם זה לא יקרה אז הדברים כאילו </w:t>
      </w:r>
      <w:bookmarkStart w:id="36" w:name="_ETM_Q_377945"/>
      <w:bookmarkEnd w:id="36"/>
      <w:r>
        <w:rPr>
          <w:rFonts w:ascii="David" w:hAnsi="David" w:cs="David"/>
          <w:sz w:val="24"/>
          <w:szCs w:val="24"/>
          <w:rtl/>
        </w:rPr>
        <w:t>ילכו לכיוון לא טוב. אז העברתי בפעמיים שהיא ביקשה ממני,</w:t>
      </w:r>
      <w:bookmarkStart w:id="37" w:name="_ETM_Q_382809"/>
      <w:bookmarkEnd w:id="37"/>
      <w:r>
        <w:rPr>
          <w:rFonts w:ascii="David" w:hAnsi="David" w:cs="David"/>
          <w:sz w:val="24"/>
          <w:szCs w:val="24"/>
          <w:rtl/>
        </w:rPr>
        <w:t xml:space="preserve"> עשיתי 2 העברות. היא אמרה לי "תעביר בבקשה לחשבון הזה,</w:t>
      </w:r>
      <w:bookmarkStart w:id="38" w:name="_ETM_Q_386982"/>
      <w:bookmarkEnd w:id="38"/>
      <w:r>
        <w:rPr>
          <w:rFonts w:ascii="David" w:hAnsi="David" w:cs="David"/>
          <w:sz w:val="24"/>
          <w:szCs w:val="24"/>
          <w:rtl/>
        </w:rPr>
        <w:t xml:space="preserve"> לחשבון מספר כך וכך". העברתי את הכסף לחשבון יום אחרי </w:t>
      </w:r>
      <w:bookmarkStart w:id="39" w:name="_ETM_Q_387925"/>
      <w:bookmarkEnd w:id="39"/>
      <w:r>
        <w:rPr>
          <w:rFonts w:ascii="David" w:hAnsi="David" w:cs="David"/>
          <w:sz w:val="24"/>
          <w:szCs w:val="24"/>
          <w:rtl/>
        </w:rPr>
        <w:t xml:space="preserve">יום ולאחר ששמתי לב שלא קורה שום דבר ושום </w:t>
      </w:r>
      <w:bookmarkStart w:id="40" w:name="_ETM_Q_391837"/>
      <w:bookmarkEnd w:id="40"/>
      <w:r>
        <w:rPr>
          <w:rFonts w:ascii="David" w:hAnsi="David" w:cs="David"/>
          <w:sz w:val="24"/>
          <w:szCs w:val="24"/>
          <w:rtl/>
        </w:rPr>
        <w:t xml:space="preserve">דבר לא משתנה ושלמעשה אני נסחט ואני נעקץ פה בסיטואציה, </w:t>
      </w:r>
      <w:bookmarkStart w:id="41" w:name="_ETM_Q_397028"/>
      <w:bookmarkEnd w:id="41"/>
      <w:r>
        <w:rPr>
          <w:rFonts w:ascii="David" w:hAnsi="David" w:cs="David"/>
          <w:sz w:val="24"/>
          <w:szCs w:val="24"/>
          <w:rtl/>
        </w:rPr>
        <w:t>אוקיי</w:t>
      </w:r>
      <w:r>
        <w:rPr>
          <w:rFonts w:ascii="David" w:hAnsi="David" w:cs="David"/>
          <w:sz w:val="24"/>
          <w:szCs w:val="24"/>
          <w:u w:val="none"/>
          <w:rtl/>
        </w:rPr>
        <w:t xml:space="preserve">? </w:t>
      </w:r>
    </w:p>
    <w:p w:rsidR="008B0FB2" w:rsidRDefault="008B0FB2" w:rsidP="008B0FB2">
      <w:pPr>
        <w:pStyle w:val="1"/>
        <w:shd w:val="clear" w:color="auto" w:fill="auto"/>
        <w:spacing w:line="360" w:lineRule="auto"/>
        <w:ind w:left="567" w:firstLine="0"/>
        <w:jc w:val="both"/>
        <w:rPr>
          <w:rFonts w:ascii="David" w:hAnsi="David" w:cs="David"/>
          <w:u w:val="none"/>
          <w:rtl/>
        </w:rPr>
      </w:pPr>
      <w:r>
        <w:rPr>
          <w:rFonts w:ascii="David" w:hAnsi="David" w:cs="David"/>
          <w:u w:val="none"/>
          <w:rtl/>
        </w:rPr>
        <w:t>[...]</w:t>
      </w:r>
    </w:p>
    <w:p w:rsidR="008B0FB2" w:rsidRDefault="008B0FB2" w:rsidP="008B0FB2">
      <w:pPr>
        <w:pStyle w:val="1"/>
        <w:shd w:val="clear" w:color="auto" w:fill="auto"/>
        <w:spacing w:line="360" w:lineRule="auto"/>
        <w:ind w:left="567" w:firstLine="0"/>
        <w:jc w:val="both"/>
        <w:rPr>
          <w:rFonts w:ascii="David" w:hAnsi="David" w:cs="David"/>
          <w:sz w:val="24"/>
          <w:szCs w:val="24"/>
          <w:rtl/>
        </w:rPr>
      </w:pPr>
      <w:r>
        <w:rPr>
          <w:rFonts w:ascii="David" w:hAnsi="David" w:cs="David"/>
          <w:sz w:val="24"/>
          <w:szCs w:val="24"/>
          <w:rtl/>
        </w:rPr>
        <w:t xml:space="preserve">עו"ד פרחיה: אחרי 2017 בעצם באה אליך *** ואומרת </w:t>
      </w:r>
      <w:bookmarkStart w:id="42" w:name="_ETM_Q_564836"/>
      <w:bookmarkEnd w:id="42"/>
      <w:r>
        <w:rPr>
          <w:rFonts w:ascii="David" w:hAnsi="David" w:cs="David"/>
          <w:sz w:val="24"/>
          <w:szCs w:val="24"/>
          <w:rtl/>
        </w:rPr>
        <w:t>לך "צריך להחזיר לאמא שלי את ההלוואה"?</w:t>
      </w:r>
    </w:p>
    <w:p w:rsidR="008B0FB2" w:rsidRDefault="008B0FB2" w:rsidP="008B0FB2">
      <w:pPr>
        <w:pStyle w:val="1"/>
        <w:shd w:val="clear" w:color="auto" w:fill="auto"/>
        <w:spacing w:line="360" w:lineRule="auto"/>
        <w:ind w:left="567" w:firstLine="0"/>
        <w:jc w:val="both"/>
        <w:rPr>
          <w:rFonts w:ascii="David" w:hAnsi="David" w:cs="David"/>
          <w:sz w:val="24"/>
          <w:szCs w:val="24"/>
          <w:rtl/>
        </w:rPr>
      </w:pPr>
      <w:r>
        <w:rPr>
          <w:rFonts w:ascii="David" w:hAnsi="David" w:cs="David"/>
          <w:sz w:val="24"/>
          <w:szCs w:val="24"/>
          <w:rtl/>
        </w:rPr>
        <w:t>העד, מר ***: ההלוואה, כן.</w:t>
      </w:r>
    </w:p>
    <w:p w:rsidR="008B0FB2" w:rsidRDefault="008B0FB2" w:rsidP="008B0FB2">
      <w:pPr>
        <w:pStyle w:val="1"/>
        <w:shd w:val="clear" w:color="auto" w:fill="auto"/>
        <w:spacing w:line="360" w:lineRule="auto"/>
        <w:ind w:left="567" w:firstLine="0"/>
        <w:jc w:val="both"/>
        <w:rPr>
          <w:rFonts w:ascii="David" w:hAnsi="David" w:cs="David"/>
          <w:sz w:val="24"/>
          <w:szCs w:val="24"/>
          <w:rtl/>
        </w:rPr>
      </w:pPr>
      <w:r>
        <w:rPr>
          <w:rFonts w:ascii="David" w:hAnsi="David" w:cs="David"/>
          <w:sz w:val="24"/>
          <w:szCs w:val="24"/>
          <w:rtl/>
        </w:rPr>
        <w:t xml:space="preserve">עו"ד פרחיה: אוקיי, </w:t>
      </w:r>
      <w:bookmarkStart w:id="43" w:name="_ETM_Q_566491"/>
      <w:bookmarkEnd w:id="43"/>
      <w:r>
        <w:rPr>
          <w:rFonts w:ascii="David" w:hAnsi="David" w:cs="David"/>
          <w:sz w:val="24"/>
          <w:szCs w:val="24"/>
          <w:rtl/>
        </w:rPr>
        <w:t>הבנתי. ואתה מחזיר את ההלוואה, חלק מההלוואה.</w:t>
      </w:r>
    </w:p>
    <w:p w:rsidR="008B0FB2" w:rsidRDefault="008B0FB2" w:rsidP="008B0FB2">
      <w:pPr>
        <w:pStyle w:val="1"/>
        <w:shd w:val="clear" w:color="auto" w:fill="auto"/>
        <w:spacing w:line="360" w:lineRule="auto"/>
        <w:ind w:left="567" w:firstLine="0"/>
        <w:jc w:val="both"/>
        <w:rPr>
          <w:rFonts w:ascii="David" w:hAnsi="David" w:cs="David"/>
          <w:sz w:val="24"/>
          <w:szCs w:val="24"/>
          <w:rtl/>
        </w:rPr>
      </w:pPr>
      <w:r>
        <w:rPr>
          <w:rFonts w:ascii="David" w:hAnsi="David" w:cs="David"/>
          <w:sz w:val="24"/>
          <w:szCs w:val="24"/>
          <w:rtl/>
        </w:rPr>
        <w:t xml:space="preserve">העד, מר ***: אני לא מחזיר שום </w:t>
      </w:r>
      <w:bookmarkStart w:id="44" w:name="_ETM_Q_574344"/>
      <w:bookmarkEnd w:id="44"/>
      <w:r>
        <w:rPr>
          <w:rFonts w:ascii="David" w:hAnsi="David" w:cs="David"/>
          <w:sz w:val="24"/>
          <w:szCs w:val="24"/>
          <w:rtl/>
        </w:rPr>
        <w:t>דבר.</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עו"ד פרחיה: אוקיי.</w:t>
      </w:r>
    </w:p>
    <w:p w:rsidR="008B0FB2" w:rsidRDefault="008B0FB2" w:rsidP="008B0FB2">
      <w:pPr>
        <w:pStyle w:val="1"/>
        <w:shd w:val="clear" w:color="auto" w:fill="auto"/>
        <w:spacing w:line="360" w:lineRule="auto"/>
        <w:ind w:left="567" w:firstLine="0"/>
        <w:jc w:val="both"/>
        <w:rPr>
          <w:rFonts w:ascii="David" w:hAnsi="David" w:cs="David"/>
          <w:sz w:val="24"/>
          <w:szCs w:val="24"/>
          <w:rtl/>
        </w:rPr>
      </w:pPr>
      <w:r>
        <w:rPr>
          <w:rFonts w:ascii="David" w:hAnsi="David" w:cs="David"/>
          <w:sz w:val="24"/>
          <w:szCs w:val="24"/>
          <w:rtl/>
        </w:rPr>
        <w:t>העד, מר ***: אני לבקשתה של *** העברתי, עשיתי 2 העברות.</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עו"ד פרחיה: כן?</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lastRenderedPageBreak/>
        <w:t xml:space="preserve">העד, מר ***: יום אחרי יום </w:t>
      </w:r>
      <w:bookmarkStart w:id="45" w:name="_ETM_Q_581068"/>
      <w:bookmarkEnd w:id="45"/>
      <w:r>
        <w:rPr>
          <w:rFonts w:ascii="David" w:hAnsi="David" w:cs="David"/>
          <w:sz w:val="24"/>
          <w:szCs w:val="24"/>
          <w:u w:val="none"/>
          <w:rtl/>
        </w:rPr>
        <w:t>אוקיי?</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עו"ד פרחיה: כן?</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העד, מר ***: אני קלטתי ששום דבר לא משתנה, הדברים נשארים, ההתנהלות של *** אותה התנהלות. עצרתי את העניין הזה,</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עו"ד פרחיה: רגע, רגע,</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 xml:space="preserve">העד, מר ***: עצרתי את </w:t>
      </w:r>
      <w:bookmarkStart w:id="46" w:name="_ETM_Q_588430"/>
      <w:bookmarkEnd w:id="46"/>
      <w:r>
        <w:rPr>
          <w:rFonts w:ascii="David" w:hAnsi="David" w:cs="David"/>
          <w:sz w:val="24"/>
          <w:szCs w:val="24"/>
          <w:u w:val="none"/>
          <w:rtl/>
        </w:rPr>
        <w:t xml:space="preserve">העניין הזה ואמרתי אני יותר לא נעקץ. גם ככה היא </w:t>
      </w:r>
      <w:bookmarkStart w:id="47" w:name="_ETM_Q_593293"/>
      <w:bookmarkEnd w:id="47"/>
      <w:r>
        <w:rPr>
          <w:rFonts w:ascii="David" w:hAnsi="David" w:cs="David"/>
          <w:sz w:val="24"/>
          <w:szCs w:val="24"/>
          <w:u w:val="none"/>
          <w:rtl/>
        </w:rPr>
        <w:t xml:space="preserve">מקבלת ממני משהו שכביכול לא מגיע לה, מעל ומעבר למה </w:t>
      </w:r>
      <w:bookmarkStart w:id="48" w:name="_ETM_Q_593993"/>
      <w:bookmarkEnd w:id="48"/>
      <w:r>
        <w:rPr>
          <w:rFonts w:ascii="David" w:hAnsi="David" w:cs="David"/>
          <w:sz w:val="24"/>
          <w:szCs w:val="24"/>
          <w:u w:val="none"/>
          <w:rtl/>
        </w:rPr>
        <w:t xml:space="preserve">שמגיע לה. ואם כבר היא מקבלת אז אמרתי לה "גם </w:t>
      </w:r>
      <w:bookmarkStart w:id="49" w:name="_ETM_Q_598310"/>
      <w:bookmarkEnd w:id="49"/>
      <w:r>
        <w:rPr>
          <w:rFonts w:ascii="David" w:hAnsi="David" w:cs="David"/>
          <w:sz w:val="24"/>
          <w:szCs w:val="24"/>
          <w:u w:val="none"/>
          <w:rtl/>
        </w:rPr>
        <w:t xml:space="preserve">אם יש לך טענות נניח, את רוצה עכשיו להגיד טענות? יש לך את הכל בדבר הזה". אני לא צריך </w:t>
      </w:r>
      <w:bookmarkStart w:id="50" w:name="_ETM_Q_602658"/>
      <w:bookmarkEnd w:id="50"/>
      <w:r>
        <w:rPr>
          <w:rFonts w:ascii="David" w:hAnsi="David" w:cs="David"/>
          <w:sz w:val="24"/>
          <w:szCs w:val="24"/>
          <w:u w:val="none"/>
          <w:rtl/>
        </w:rPr>
        <w:t xml:space="preserve">לשלם שום דבר לאף אחד כי אני לא ביקשתי כסף </w:t>
      </w:r>
      <w:bookmarkStart w:id="51" w:name="_ETM_Q_605940"/>
      <w:bookmarkEnd w:id="51"/>
      <w:r>
        <w:rPr>
          <w:rFonts w:ascii="David" w:hAnsi="David" w:cs="David"/>
          <w:sz w:val="24"/>
          <w:szCs w:val="24"/>
          <w:u w:val="none"/>
          <w:rtl/>
        </w:rPr>
        <w:t>מהגברת שיושבת, מ***.</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עו"ד פרחיה: לא הבנתי, לא הבנתי. תבין, אני מנסה להבין</w:t>
      </w:r>
      <w:bookmarkStart w:id="52" w:name="_ETM_Q_608787"/>
      <w:bookmarkEnd w:id="52"/>
      <w:r>
        <w:rPr>
          <w:rFonts w:ascii="David" w:hAnsi="David" w:cs="David"/>
          <w:sz w:val="24"/>
          <w:szCs w:val="24"/>
          <w:u w:val="none"/>
          <w:rtl/>
        </w:rPr>
        <w:t>, לך אומרים,</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 xml:space="preserve">עו"ד פרחיה: אתה אומר "ב2017 *** אומרת לי, מתחילה להגיד </w:t>
      </w:r>
      <w:bookmarkStart w:id="53" w:name="_ETM_Q_628279"/>
      <w:bookmarkEnd w:id="53"/>
      <w:r>
        <w:rPr>
          <w:rFonts w:ascii="David" w:hAnsi="David" w:cs="David"/>
          <w:sz w:val="24"/>
          <w:szCs w:val="24"/>
          <w:u w:val="none"/>
          <w:rtl/>
        </w:rPr>
        <w:t>לי 'תחזיר את ההלוואה לאמא שלי'" נכון? המילה הלוואה (מדברים ביחד),</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 xml:space="preserve">העד, מר ***: אחריי, </w:t>
      </w:r>
      <w:bookmarkStart w:id="54" w:name="_ETM_Q_633500"/>
      <w:bookmarkEnd w:id="54"/>
      <w:r>
        <w:rPr>
          <w:rFonts w:ascii="David" w:hAnsi="David" w:cs="David"/>
          <w:sz w:val="24"/>
          <w:szCs w:val="24"/>
          <w:u w:val="none"/>
          <w:rtl/>
        </w:rPr>
        <w:t xml:space="preserve">בוא נגיד שאחרי שההסכם נעשה, זה יכול להיות סוף 2017, זה </w:t>
      </w:r>
      <w:bookmarkStart w:id="55" w:name="_ETM_Q_636749"/>
      <w:bookmarkEnd w:id="55"/>
      <w:r>
        <w:rPr>
          <w:rFonts w:ascii="David" w:hAnsi="David" w:cs="David"/>
          <w:sz w:val="24"/>
          <w:szCs w:val="24"/>
          <w:u w:val="none"/>
          <w:rtl/>
        </w:rPr>
        <w:t>יכל להיות 2018.</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עו"ד פרחיה: כן?</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העד, מר ***: אבל אחרי שההסכם שלי עם *** נחתם,</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עו"ד פרחיה: כן?</w:t>
      </w:r>
    </w:p>
    <w:p w:rsidR="008B0FB2" w:rsidRDefault="008B0FB2" w:rsidP="008B0FB2">
      <w:pPr>
        <w:pStyle w:val="1"/>
        <w:shd w:val="clear" w:color="auto" w:fill="auto"/>
        <w:spacing w:line="360" w:lineRule="auto"/>
        <w:ind w:left="567" w:firstLine="0"/>
        <w:jc w:val="both"/>
        <w:rPr>
          <w:rFonts w:ascii="David" w:hAnsi="David" w:cs="David"/>
          <w:sz w:val="24"/>
          <w:szCs w:val="24"/>
          <w:rtl/>
        </w:rPr>
      </w:pPr>
      <w:r>
        <w:rPr>
          <w:rFonts w:ascii="David" w:hAnsi="David" w:cs="David"/>
          <w:sz w:val="24"/>
          <w:szCs w:val="24"/>
          <w:rtl/>
        </w:rPr>
        <w:t xml:space="preserve">העד, מר ***: אז עלתה, </w:t>
      </w:r>
      <w:bookmarkStart w:id="56" w:name="_ETM_Q_644636"/>
      <w:bookmarkEnd w:id="56"/>
      <w:r>
        <w:rPr>
          <w:rFonts w:ascii="David" w:hAnsi="David" w:cs="David"/>
          <w:sz w:val="24"/>
          <w:szCs w:val="24"/>
          <w:rtl/>
        </w:rPr>
        <w:t>שמעתי באוזניים שלי את המילה הלוואה.</w:t>
      </w:r>
    </w:p>
    <w:p w:rsidR="008B0FB2" w:rsidRDefault="008B0FB2" w:rsidP="008B0FB2">
      <w:pPr>
        <w:pStyle w:val="1"/>
        <w:shd w:val="clear" w:color="auto" w:fill="auto"/>
        <w:spacing w:line="360" w:lineRule="auto"/>
        <w:ind w:left="567" w:firstLine="0"/>
        <w:jc w:val="both"/>
        <w:rPr>
          <w:rFonts w:ascii="David" w:hAnsi="David" w:cs="David"/>
          <w:sz w:val="24"/>
          <w:szCs w:val="24"/>
          <w:rtl/>
        </w:rPr>
      </w:pPr>
      <w:r>
        <w:rPr>
          <w:rFonts w:ascii="David" w:hAnsi="David" w:cs="David"/>
          <w:sz w:val="24"/>
          <w:szCs w:val="24"/>
          <w:rtl/>
        </w:rPr>
        <w:t xml:space="preserve">עו"ד פרחיה: הבנתי. ואתה, למה אתה לא </w:t>
      </w:r>
      <w:bookmarkStart w:id="57" w:name="_ETM_Q_647626"/>
      <w:bookmarkEnd w:id="57"/>
      <w:r>
        <w:rPr>
          <w:rFonts w:ascii="David" w:hAnsi="David" w:cs="David"/>
          <w:sz w:val="24"/>
          <w:szCs w:val="24"/>
          <w:rtl/>
        </w:rPr>
        <w:t xml:space="preserve">אומר ל*** "גברת על מה את מדברת? על איזה הלוואה?". </w:t>
      </w:r>
    </w:p>
    <w:p w:rsidR="008B0FB2" w:rsidRDefault="008B0FB2" w:rsidP="008B0FB2">
      <w:pPr>
        <w:pStyle w:val="1"/>
        <w:shd w:val="clear" w:color="auto" w:fill="auto"/>
        <w:spacing w:line="360" w:lineRule="auto"/>
        <w:ind w:left="567" w:firstLine="0"/>
        <w:jc w:val="both"/>
        <w:rPr>
          <w:rFonts w:ascii="David" w:hAnsi="David" w:cs="David"/>
          <w:sz w:val="24"/>
          <w:szCs w:val="24"/>
          <w:rtl/>
        </w:rPr>
      </w:pPr>
      <w:r>
        <w:rPr>
          <w:rFonts w:ascii="David" w:hAnsi="David" w:cs="David"/>
          <w:sz w:val="24"/>
          <w:szCs w:val="24"/>
          <w:rtl/>
        </w:rPr>
        <w:t xml:space="preserve">העד, מר ***: אדוני אתה עורך דין, אתה מתקשה, אתה לא יכולה, </w:t>
      </w:r>
      <w:bookmarkStart w:id="58" w:name="_ETM_Q_655835"/>
      <w:bookmarkEnd w:id="58"/>
      <w:r>
        <w:rPr>
          <w:rFonts w:ascii="David" w:hAnsi="David" w:cs="David"/>
          <w:sz w:val="24"/>
          <w:szCs w:val="24"/>
          <w:rtl/>
        </w:rPr>
        <w:t xml:space="preserve">אני לא יכול ככה, אני לא יכול ככה. אתה יודע </w:t>
      </w:r>
      <w:bookmarkStart w:id="59" w:name="_ETM_Q_659429"/>
      <w:bookmarkEnd w:id="59"/>
      <w:r>
        <w:rPr>
          <w:rFonts w:ascii="David" w:hAnsi="David" w:cs="David"/>
          <w:sz w:val="24"/>
          <w:szCs w:val="24"/>
          <w:rtl/>
        </w:rPr>
        <w:t>מה זה לאמן כדורגל? אתה יודע באיזה לחץ אני נמצא?</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עו"ד פרחיה: כן?</w:t>
      </w:r>
    </w:p>
    <w:p w:rsidR="008B0FB2" w:rsidRDefault="008B0FB2" w:rsidP="008B0FB2">
      <w:pPr>
        <w:pStyle w:val="1"/>
        <w:shd w:val="clear" w:color="auto" w:fill="auto"/>
        <w:spacing w:line="360" w:lineRule="auto"/>
        <w:ind w:left="567" w:firstLine="0"/>
        <w:jc w:val="both"/>
        <w:rPr>
          <w:rFonts w:ascii="David" w:hAnsi="David" w:cs="David"/>
          <w:b w:val="0"/>
          <w:bCs w:val="0"/>
          <w:sz w:val="24"/>
          <w:szCs w:val="24"/>
          <w:u w:val="none"/>
          <w:rtl/>
        </w:rPr>
      </w:pPr>
      <w:r>
        <w:rPr>
          <w:rFonts w:ascii="David" w:hAnsi="David" w:cs="David"/>
          <w:sz w:val="24"/>
          <w:szCs w:val="24"/>
          <w:rtl/>
        </w:rPr>
        <w:t xml:space="preserve">העד, מר ***: אני </w:t>
      </w:r>
      <w:bookmarkStart w:id="60" w:name="_ETM_Q_661606"/>
      <w:bookmarkEnd w:id="60"/>
      <w:r>
        <w:rPr>
          <w:rFonts w:ascii="David" w:hAnsi="David" w:cs="David"/>
          <w:sz w:val="24"/>
          <w:szCs w:val="24"/>
          <w:rtl/>
        </w:rPr>
        <w:t>לא יושב פה ככה והכל נשאר פה באולם. אני מבקרים</w:t>
      </w:r>
      <w:bookmarkStart w:id="61" w:name="_ETM_Q_665093"/>
      <w:bookmarkEnd w:id="61"/>
      <w:r>
        <w:rPr>
          <w:rFonts w:ascii="David" w:hAnsi="David" w:cs="David"/>
          <w:sz w:val="24"/>
          <w:szCs w:val="24"/>
          <w:rtl/>
        </w:rPr>
        <w:t xml:space="preserve"> אותי בתקשורת, אני יוצא לרחוב, אני חי עם לחץ מטורף</w:t>
      </w:r>
      <w:bookmarkStart w:id="62" w:name="_ETM_Q_669068"/>
      <w:bookmarkEnd w:id="62"/>
      <w:r>
        <w:rPr>
          <w:rFonts w:ascii="David" w:hAnsi="David" w:cs="David"/>
          <w:sz w:val="24"/>
          <w:szCs w:val="24"/>
          <w:rtl/>
        </w:rPr>
        <w:t xml:space="preserve"> 24/7. אני לא יכול ללכת לישון, יש לי בעלים שלוח</w:t>
      </w:r>
      <w:bookmarkStart w:id="63" w:name="_ETM_Q_673827"/>
      <w:bookmarkEnd w:id="63"/>
      <w:r>
        <w:rPr>
          <w:rFonts w:ascii="David" w:hAnsi="David" w:cs="David"/>
          <w:sz w:val="24"/>
          <w:szCs w:val="24"/>
          <w:rtl/>
        </w:rPr>
        <w:t xml:space="preserve">ץ עליי, יש אוהדים שלוחצים עליי, יש כתבות. אתה יודע </w:t>
      </w:r>
      <w:bookmarkStart w:id="64" w:name="_ETM_Q_675724"/>
      <w:bookmarkEnd w:id="64"/>
      <w:r>
        <w:rPr>
          <w:rFonts w:ascii="David" w:hAnsi="David" w:cs="David"/>
          <w:sz w:val="24"/>
          <w:szCs w:val="24"/>
          <w:rtl/>
        </w:rPr>
        <w:t xml:space="preserve">מה זה להיות מאמן כדורגל? אתה יושב פה ובוכה על </w:t>
      </w:r>
      <w:bookmarkStart w:id="65" w:name="_ETM_Q_679870"/>
      <w:bookmarkEnd w:id="65"/>
      <w:r>
        <w:rPr>
          <w:rFonts w:ascii="David" w:hAnsi="David" w:cs="David"/>
          <w:sz w:val="24"/>
          <w:szCs w:val="24"/>
          <w:rtl/>
        </w:rPr>
        <w:t xml:space="preserve">דבר קטן. אז אתה יודע שאני צריך שקט, אני צריך </w:t>
      </w:r>
      <w:bookmarkStart w:id="66" w:name="_ETM_Q_679871"/>
      <w:bookmarkEnd w:id="66"/>
      <w:r>
        <w:rPr>
          <w:rFonts w:ascii="David" w:hAnsi="David" w:cs="David"/>
          <w:sz w:val="24"/>
          <w:szCs w:val="24"/>
          <w:rtl/>
        </w:rPr>
        <w:t>שקט. אני כדי להתנהל וכדי לייצר פרנסה וכדי לבנות את</w:t>
      </w:r>
      <w:bookmarkStart w:id="67" w:name="_ETM_Q_684476"/>
      <w:bookmarkEnd w:id="67"/>
      <w:r>
        <w:rPr>
          <w:rFonts w:ascii="David" w:hAnsi="David" w:cs="David"/>
          <w:sz w:val="24"/>
          <w:szCs w:val="24"/>
          <w:rtl/>
        </w:rPr>
        <w:t xml:space="preserve"> המקצוע שלי אני צריך שקט. את השקט הזה, לפעמים כשאתה </w:t>
      </w:r>
      <w:bookmarkStart w:id="68" w:name="_ETM_Q_689311"/>
      <w:bookmarkEnd w:id="68"/>
      <w:r>
        <w:rPr>
          <w:rFonts w:ascii="David" w:hAnsi="David" w:cs="David"/>
          <w:sz w:val="24"/>
          <w:szCs w:val="24"/>
          <w:rtl/>
        </w:rPr>
        <w:t xml:space="preserve">צריך שקט הורים קונים את השקט לפעמים, אני לא קונה </w:t>
      </w:r>
      <w:bookmarkStart w:id="69" w:name="_ETM_Q_690447"/>
      <w:bookmarkEnd w:id="69"/>
      <w:r>
        <w:rPr>
          <w:rFonts w:ascii="David" w:hAnsi="David" w:cs="David"/>
          <w:sz w:val="24"/>
          <w:szCs w:val="24"/>
          <w:rtl/>
        </w:rPr>
        <w:t>את השקט מהילדים שלי בכסף,</w:t>
      </w:r>
      <w:r>
        <w:rPr>
          <w:rFonts w:ascii="David" w:hAnsi="David" w:cs="David"/>
          <w:b w:val="0"/>
          <w:bCs w:val="0"/>
          <w:sz w:val="24"/>
          <w:szCs w:val="24"/>
          <w:u w:val="none"/>
          <w:rtl/>
        </w:rPr>
        <w:t>" (ההדגשות בקו – הוספו).</w:t>
      </w:r>
    </w:p>
    <w:p w:rsidR="008B0FB2" w:rsidRDefault="008B0FB2" w:rsidP="008B0FB2">
      <w:pPr>
        <w:pStyle w:val="1"/>
        <w:shd w:val="clear" w:color="auto" w:fill="auto"/>
        <w:spacing w:line="360" w:lineRule="auto"/>
        <w:ind w:left="567" w:firstLine="0"/>
        <w:jc w:val="both"/>
        <w:rPr>
          <w:rFonts w:ascii="David" w:hAnsi="David" w:cs="David"/>
          <w:b w:val="0"/>
          <w:bCs w:val="0"/>
          <w:sz w:val="24"/>
          <w:szCs w:val="24"/>
          <w:u w:val="none"/>
          <w:rtl/>
        </w:rPr>
      </w:pPr>
      <w:r>
        <w:rPr>
          <w:rFonts w:ascii="David" w:hAnsi="David" w:cs="David"/>
          <w:b w:val="0"/>
          <w:bCs w:val="0"/>
          <w:sz w:val="24"/>
          <w:szCs w:val="24"/>
          <w:u w:val="none"/>
          <w:rtl/>
        </w:rPr>
        <w:t>(ראו: פרוט' מיום 16.2.2023, עמ' 67, שורות 24-17; עמ' 69, שורות 35-18; עמ' 70, שורות 30-17).</w:t>
      </w:r>
    </w:p>
    <w:p w:rsidR="008B0FB2" w:rsidRDefault="008B0FB2" w:rsidP="008B0FB2">
      <w:pPr>
        <w:pStyle w:val="1"/>
        <w:shd w:val="clear" w:color="auto" w:fill="auto"/>
        <w:spacing w:line="360" w:lineRule="auto"/>
        <w:ind w:left="567" w:firstLine="0"/>
        <w:jc w:val="both"/>
        <w:rPr>
          <w:rFonts w:ascii="David" w:hAnsi="David" w:cs="David"/>
          <w:b w:val="0"/>
          <w:bCs w:val="0"/>
          <w:sz w:val="24"/>
          <w:szCs w:val="24"/>
          <w:u w:val="none"/>
          <w:rtl/>
        </w:rPr>
      </w:pPr>
    </w:p>
    <w:p w:rsidR="008B0FB2" w:rsidRDefault="008B0FB2" w:rsidP="008B0FB2">
      <w:pPr>
        <w:pStyle w:val="aa"/>
        <w:numPr>
          <w:ilvl w:val="3"/>
          <w:numId w:val="1"/>
        </w:numPr>
        <w:spacing w:line="360" w:lineRule="auto"/>
        <w:jc w:val="both"/>
        <w:rPr>
          <w:rFonts w:ascii="David" w:hAnsi="David"/>
          <w:b/>
          <w:bCs/>
          <w:rtl/>
        </w:rPr>
      </w:pPr>
      <w:r>
        <w:rPr>
          <w:rtl/>
        </w:rPr>
        <w:lastRenderedPageBreak/>
        <w:t xml:space="preserve">כמו כן, כשנשאל </w:t>
      </w:r>
      <w:r>
        <w:rPr>
          <w:b/>
          <w:bCs/>
          <w:rtl/>
        </w:rPr>
        <w:t>הנתבע</w:t>
      </w:r>
      <w:r>
        <w:rPr>
          <w:rtl/>
        </w:rPr>
        <w:t xml:space="preserve"> מדוע כתב במסגרת ההעברות כי מדובר בחלק מהחזר של הלוואה, הוא ציין כי יש לו מספיק לחץ בחיים ולא התעמק בזה, וכי הוא רצה לקנות שקט. כך בחקירתו:</w:t>
      </w:r>
    </w:p>
    <w:p w:rsidR="008B0FB2" w:rsidRDefault="008B0FB2" w:rsidP="008B0FB2">
      <w:pPr>
        <w:pStyle w:val="1"/>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"עו"ד פרחיה: רגע. כתבת על ההעברה הראשונה </w:t>
      </w:r>
      <w:bookmarkStart w:id="70" w:name="_ETM_Q_728754"/>
      <w:bookmarkEnd w:id="70"/>
      <w:r>
        <w:rPr>
          <w:rFonts w:ascii="David" w:hAnsi="David" w:cs="David"/>
          <w:sz w:val="24"/>
          <w:szCs w:val="24"/>
          <w:u w:val="none"/>
          <w:rtl/>
        </w:rPr>
        <w:t>"חלק מהחזר הלוואה שקיבלתי",</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העד, מר ***: כן?</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 xml:space="preserve">עו"ד פרחיה: ועל ההעברה השנייה כתבת "חלק נוסף מהחזר </w:t>
      </w:r>
      <w:bookmarkStart w:id="71" w:name="_ETM_Q_736687"/>
      <w:bookmarkEnd w:id="71"/>
      <w:r>
        <w:rPr>
          <w:rFonts w:ascii="David" w:hAnsi="David" w:cs="David"/>
          <w:sz w:val="24"/>
          <w:szCs w:val="24"/>
          <w:u w:val="none"/>
          <w:rtl/>
        </w:rPr>
        <w:t>ההלוואה",</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העד, מר ***: נכון.</w:t>
      </w:r>
    </w:p>
    <w:p w:rsidR="008B0FB2" w:rsidRDefault="008B0FB2" w:rsidP="008B0FB2">
      <w:pPr>
        <w:pStyle w:val="1"/>
        <w:shd w:val="clear" w:color="auto" w:fill="auto"/>
        <w:spacing w:line="360" w:lineRule="auto"/>
        <w:ind w:left="567" w:firstLine="0"/>
        <w:jc w:val="both"/>
        <w:rPr>
          <w:rFonts w:ascii="David" w:hAnsi="David" w:cs="David"/>
          <w:sz w:val="24"/>
          <w:szCs w:val="24"/>
          <w:rtl/>
        </w:rPr>
      </w:pPr>
      <w:r>
        <w:rPr>
          <w:rFonts w:ascii="David" w:hAnsi="David" w:cs="David"/>
          <w:sz w:val="24"/>
          <w:szCs w:val="24"/>
          <w:rtl/>
        </w:rPr>
        <w:t>עו"ד פרחיה: אוקיי? למה? למה זה מה שאתה כותב?</w:t>
      </w:r>
    </w:p>
    <w:p w:rsidR="008B0FB2" w:rsidRDefault="008B0FB2" w:rsidP="008B0FB2">
      <w:pPr>
        <w:pStyle w:val="1"/>
        <w:shd w:val="clear" w:color="auto" w:fill="auto"/>
        <w:spacing w:line="360" w:lineRule="auto"/>
        <w:ind w:left="567" w:firstLine="0"/>
        <w:jc w:val="both"/>
        <w:rPr>
          <w:rFonts w:ascii="David" w:hAnsi="David" w:cs="David"/>
          <w:sz w:val="24"/>
          <w:szCs w:val="24"/>
          <w:rtl/>
        </w:rPr>
      </w:pPr>
      <w:r>
        <w:rPr>
          <w:rFonts w:ascii="David" w:hAnsi="David" w:cs="David"/>
          <w:sz w:val="24"/>
          <w:szCs w:val="24"/>
          <w:rtl/>
        </w:rPr>
        <w:t xml:space="preserve">העד, מר ***: כי זה מה שהתבקשתי </w:t>
      </w:r>
      <w:bookmarkStart w:id="72" w:name="_ETM_Q_738707"/>
      <w:bookmarkEnd w:id="72"/>
      <w:r>
        <w:rPr>
          <w:rFonts w:ascii="David" w:hAnsi="David" w:cs="David"/>
          <w:sz w:val="24"/>
          <w:szCs w:val="24"/>
          <w:rtl/>
        </w:rPr>
        <w:t xml:space="preserve">לעשות על ידי ***, זה עשה לי היגיון. אני לא </w:t>
      </w:r>
      <w:bookmarkStart w:id="73" w:name="_ETM_Q_743631"/>
      <w:bookmarkEnd w:id="73"/>
      <w:r>
        <w:rPr>
          <w:rFonts w:ascii="David" w:hAnsi="David" w:cs="David"/>
          <w:sz w:val="24"/>
          <w:szCs w:val="24"/>
          <w:rtl/>
        </w:rPr>
        <w:t>התעסקתי בדברים האלה, שתבין,</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 xml:space="preserve">עו"ד פרחיה: איך קרתה הטעות. מי ביקש </w:t>
      </w:r>
      <w:bookmarkStart w:id="74" w:name="_ETM_Q_779550"/>
      <w:bookmarkEnd w:id="74"/>
      <w:r>
        <w:rPr>
          <w:rFonts w:ascii="David" w:hAnsi="David" w:cs="David"/>
          <w:sz w:val="24"/>
          <w:szCs w:val="24"/>
          <w:u w:val="none"/>
          <w:rtl/>
        </w:rPr>
        <w:t>ממך לכתוב שזה חלק מההלוואה?</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העד, מר ***: ***.</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עו"ד פרחיה: ***. למה?</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העד, מר ***: כדי שיהיה היגיון, אם אני</w:t>
      </w:r>
      <w:bookmarkStart w:id="75" w:name="_ETM_Q_782430"/>
      <w:bookmarkEnd w:id="75"/>
      <w:r>
        <w:rPr>
          <w:rFonts w:ascii="David" w:hAnsi="David" w:cs="David"/>
          <w:sz w:val="24"/>
          <w:szCs w:val="24"/>
          <w:u w:val="none"/>
          <w:rtl/>
        </w:rPr>
        <w:t xml:space="preserve"> מעביר פתאום 25 אלף שקל ויום אחרי זה 50 אלף </w:t>
      </w:r>
      <w:bookmarkStart w:id="76" w:name="_ETM_Q_786161"/>
      <w:bookmarkEnd w:id="76"/>
      <w:r>
        <w:rPr>
          <w:rFonts w:ascii="David" w:hAnsi="David" w:cs="David"/>
          <w:sz w:val="24"/>
          <w:szCs w:val="24"/>
          <w:u w:val="none"/>
          <w:rtl/>
        </w:rPr>
        <w:t>שקל,</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 xml:space="preserve">[...] זה נראה קצת לא הגיוני כל כך. לא יודע, כאילו </w:t>
      </w:r>
      <w:bookmarkStart w:id="77" w:name="_ETM_Q_790675"/>
      <w:bookmarkEnd w:id="77"/>
      <w:r>
        <w:rPr>
          <w:rFonts w:ascii="David" w:hAnsi="David" w:cs="David"/>
          <w:sz w:val="24"/>
          <w:szCs w:val="24"/>
          <w:u w:val="none"/>
          <w:rtl/>
        </w:rPr>
        <w:t xml:space="preserve">מבחינת העברות וזה תכתוב, זה מה שתרשום, זו הסיבה כאילו </w:t>
      </w:r>
      <w:bookmarkStart w:id="78" w:name="_ETM_Q_793126"/>
      <w:bookmarkEnd w:id="78"/>
      <w:r>
        <w:rPr>
          <w:rFonts w:ascii="David" w:hAnsi="David" w:cs="David"/>
          <w:sz w:val="24"/>
          <w:szCs w:val="24"/>
          <w:u w:val="none"/>
          <w:rtl/>
        </w:rPr>
        <w:t>להעברות.</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עו"ד פרחיה: למי זה נראה לא הגיוני?</w:t>
      </w:r>
    </w:p>
    <w:p w:rsidR="008B0FB2" w:rsidRDefault="008B0FB2" w:rsidP="008B0FB2">
      <w:pPr>
        <w:pStyle w:val="1"/>
        <w:shd w:val="clear" w:color="auto" w:fill="auto"/>
        <w:spacing w:line="360" w:lineRule="auto"/>
        <w:ind w:left="567" w:firstLine="0"/>
        <w:jc w:val="both"/>
        <w:rPr>
          <w:rFonts w:ascii="David" w:hAnsi="David" w:cs="David"/>
          <w:b w:val="0"/>
          <w:bCs w:val="0"/>
          <w:sz w:val="24"/>
          <w:szCs w:val="24"/>
          <w:u w:val="none"/>
          <w:rtl/>
        </w:rPr>
      </w:pPr>
      <w:r>
        <w:rPr>
          <w:rFonts w:ascii="David" w:hAnsi="David" w:cs="David"/>
          <w:sz w:val="24"/>
          <w:szCs w:val="24"/>
          <w:u w:val="none"/>
          <w:rtl/>
        </w:rPr>
        <w:t xml:space="preserve">העד, מר ***: למי שצריך, לא יודע, בנקים, בנקים שואלים מאיפה הכסף, איך עבר הכסף, מה זה הסכומים </w:t>
      </w:r>
      <w:bookmarkStart w:id="79" w:name="_ETM_Q_800592"/>
      <w:bookmarkEnd w:id="79"/>
      <w:r>
        <w:rPr>
          <w:rFonts w:ascii="David" w:hAnsi="David" w:cs="David"/>
          <w:sz w:val="24"/>
          <w:szCs w:val="24"/>
          <w:u w:val="none"/>
          <w:rtl/>
        </w:rPr>
        <w:t>האלה.</w:t>
      </w:r>
      <w:r>
        <w:rPr>
          <w:rFonts w:ascii="David" w:hAnsi="David" w:cs="David"/>
          <w:sz w:val="24"/>
          <w:szCs w:val="24"/>
          <w:rtl/>
        </w:rPr>
        <w:t xml:space="preserve"> אני לא, לא שאלתי, לא שאלתי, אני יודע, מבין</w:t>
      </w:r>
      <w:bookmarkStart w:id="80" w:name="_ETM_Q_803767"/>
      <w:bookmarkEnd w:id="80"/>
      <w:r>
        <w:rPr>
          <w:rFonts w:ascii="David" w:hAnsi="David" w:cs="David"/>
          <w:sz w:val="24"/>
          <w:szCs w:val="24"/>
          <w:rtl/>
        </w:rPr>
        <w:t xml:space="preserve"> פחות או יותר למה היא התכוונה</w:t>
      </w:r>
      <w:r>
        <w:rPr>
          <w:rFonts w:ascii="David" w:hAnsi="David" w:cs="David"/>
          <w:sz w:val="24"/>
          <w:szCs w:val="24"/>
          <w:u w:val="none"/>
          <w:rtl/>
        </w:rPr>
        <w:t xml:space="preserve">." </w:t>
      </w:r>
      <w:r>
        <w:rPr>
          <w:rFonts w:ascii="David" w:hAnsi="David" w:cs="David"/>
          <w:b w:val="0"/>
          <w:bCs w:val="0"/>
          <w:sz w:val="24"/>
          <w:szCs w:val="24"/>
          <w:u w:val="none"/>
          <w:rtl/>
        </w:rPr>
        <w:t>(ההדגשות בקו – הוספו).</w:t>
      </w:r>
    </w:p>
    <w:p w:rsidR="008B0FB2" w:rsidRDefault="008B0FB2" w:rsidP="008B0FB2">
      <w:pPr>
        <w:pStyle w:val="1"/>
        <w:shd w:val="clear" w:color="auto" w:fill="auto"/>
        <w:spacing w:line="360" w:lineRule="auto"/>
        <w:ind w:left="567" w:firstLine="0"/>
        <w:jc w:val="both"/>
        <w:rPr>
          <w:rFonts w:ascii="David" w:hAnsi="David" w:cs="David"/>
          <w:b w:val="0"/>
          <w:bCs w:val="0"/>
          <w:sz w:val="24"/>
          <w:szCs w:val="24"/>
          <w:u w:val="none"/>
          <w:rtl/>
        </w:rPr>
      </w:pPr>
      <w:r>
        <w:rPr>
          <w:rFonts w:ascii="David" w:hAnsi="David" w:cs="David"/>
          <w:b w:val="0"/>
          <w:bCs w:val="0"/>
          <w:sz w:val="24"/>
          <w:szCs w:val="24"/>
          <w:u w:val="none"/>
          <w:rtl/>
        </w:rPr>
        <w:t>(ראו: פרוט' מיום 16.2.2023, עמ' 71, שורות 22-16, 35; עמ' 72, שורות 11-1).</w:t>
      </w:r>
    </w:p>
    <w:p w:rsidR="008B0FB2" w:rsidRDefault="008B0FB2" w:rsidP="008B0FB2">
      <w:pPr>
        <w:pStyle w:val="aa"/>
        <w:spacing w:line="360" w:lineRule="auto"/>
        <w:ind w:left="567"/>
        <w:jc w:val="both"/>
        <w:rPr>
          <w:rFonts w:ascii="David" w:hAnsi="David"/>
          <w:b/>
          <w:bCs/>
          <w:rtl/>
        </w:rPr>
      </w:pPr>
    </w:p>
    <w:p w:rsidR="008B0FB2" w:rsidRDefault="008B0FB2" w:rsidP="008B0FB2">
      <w:pPr>
        <w:pStyle w:val="aa"/>
        <w:numPr>
          <w:ilvl w:val="3"/>
          <w:numId w:val="1"/>
        </w:numPr>
        <w:spacing w:line="360" w:lineRule="auto"/>
        <w:jc w:val="both"/>
        <w:rPr>
          <w:rFonts w:ascii="David" w:hAnsi="David"/>
        </w:rPr>
      </w:pPr>
      <w:r>
        <w:rPr>
          <w:rFonts w:ascii="David" w:hAnsi="David"/>
          <w:rtl/>
        </w:rPr>
        <w:t xml:space="preserve">גרסה זו של הנתבע בחקירה עומדת בסתירה לגרסה בתצע"ר שם טען כי השבת הכספים בחודש 6/2018 הייתה לחשונה של הבת ולא לאם וכי הבת היא זו שדרשה כי ייכתב החזר הלוואה (סעיפים 22-25). הנתבע לא התמודד עם העובדה כי בצילומי ההעברות (נספח 2 לתצע"ר של התובעת) מצויין בצורה מפורושת וברורה כי ההפקדה היא לחשבון עם שמה של התובעת בלבד. </w:t>
      </w:r>
    </w:p>
    <w:p w:rsidR="008B0FB2" w:rsidRDefault="008B0FB2" w:rsidP="008B0FB2">
      <w:pPr>
        <w:pStyle w:val="aa"/>
        <w:spacing w:line="360" w:lineRule="auto"/>
        <w:ind w:left="567"/>
        <w:jc w:val="both"/>
        <w:rPr>
          <w:rFonts w:ascii="David" w:hAnsi="David"/>
          <w:b/>
          <w:bCs/>
        </w:rPr>
      </w:pPr>
    </w:p>
    <w:p w:rsidR="008B0FB2" w:rsidRDefault="008B0FB2" w:rsidP="008B0FB2">
      <w:pPr>
        <w:pStyle w:val="aa"/>
        <w:numPr>
          <w:ilvl w:val="3"/>
          <w:numId w:val="1"/>
        </w:numPr>
        <w:spacing w:line="360" w:lineRule="auto"/>
        <w:jc w:val="both"/>
        <w:rPr>
          <w:rFonts w:ascii="David" w:hAnsi="David"/>
          <w:b/>
          <w:bCs/>
        </w:rPr>
      </w:pPr>
      <w:r>
        <w:rPr>
          <w:rFonts w:ascii="David" w:hAnsi="David"/>
          <w:rtl/>
        </w:rPr>
        <w:t xml:space="preserve">אם כן, עולה כי הנתבע מודה כי נעשו טעויות מצדו לאורך הדרך, אך מבקש לנמק אותן בחוסר ריכוז מצדו, חוסר בפנאי או זמן להתעמק בדברים וכן בלחץ שהופעל עליו מצידה של הבת. אין בידי לקבל טענות אלה מצד הנתבע. הנתבע, כאדם מצליח ומבין עניין, היה צריך לחשוב לפני שכתב שההעברותיו הראשונה והשנייה לאם מהוות חלק מהחזר הלוואה, כמו גם שהיה צריך לחשוב לפני שחתם על כתב ההגנה שלו. גרסתו מעלה סימני שאלה רבים, אשר מערערים את מהימנותו ואת כלל גרסתו. </w:t>
      </w:r>
    </w:p>
    <w:p w:rsidR="008B0FB2" w:rsidRDefault="008B0FB2" w:rsidP="008B0FB2">
      <w:pPr>
        <w:pStyle w:val="aa"/>
        <w:spacing w:line="360" w:lineRule="auto"/>
        <w:ind w:left="567"/>
        <w:jc w:val="both"/>
        <w:rPr>
          <w:rFonts w:ascii="David" w:hAnsi="David"/>
          <w:b/>
          <w:bCs/>
        </w:rPr>
      </w:pPr>
    </w:p>
    <w:p w:rsidR="008B0FB2" w:rsidRDefault="008B0FB2" w:rsidP="008B0FB2">
      <w:pPr>
        <w:pStyle w:val="aa"/>
        <w:numPr>
          <w:ilvl w:val="3"/>
          <w:numId w:val="1"/>
        </w:numPr>
        <w:spacing w:line="360" w:lineRule="auto"/>
        <w:jc w:val="both"/>
        <w:rPr>
          <w:rFonts w:ascii="David" w:hAnsi="David"/>
        </w:rPr>
      </w:pPr>
      <w:r>
        <w:rPr>
          <w:rFonts w:ascii="David" w:hAnsi="David"/>
          <w:rtl/>
        </w:rPr>
        <w:lastRenderedPageBreak/>
        <w:t>זאת ועוד, הן בעניין כתב ההגנה שהוגש מטעמו של הנתבע, והן בעניין ההעברות שביצע לאם, אין בידי לקבל את טענות הנתבע שמא לא ידע איזו גרסה העלה על הכתב עורך דינו, ולא ידע על מה ולמה הוא כותב בפירוט ההעברות הכספים לאם שהן מהוות חלק מהחזר הלוואה. בעניינים אלו, יש לדחות את טענות הנתבע מאחר שחלה "</w:t>
      </w:r>
      <w:r>
        <w:rPr>
          <w:rFonts w:ascii="David" w:hAnsi="David"/>
          <w:b/>
          <w:bCs/>
          <w:rtl/>
        </w:rPr>
        <w:t>חזקת ידיעת החותם</w:t>
      </w:r>
      <w:r>
        <w:rPr>
          <w:rFonts w:ascii="David" w:hAnsi="David"/>
          <w:rtl/>
        </w:rPr>
        <w:t xml:space="preserve">": </w:t>
      </w:r>
    </w:p>
    <w:p w:rsidR="008B0FB2" w:rsidRDefault="008B0FB2" w:rsidP="008B0FB2">
      <w:pPr>
        <w:pStyle w:val="Ruller4"/>
        <w:ind w:left="1134" w:right="567"/>
        <w:rPr>
          <w:rFonts w:ascii="David" w:hAnsi="David" w:cs="David"/>
          <w:b/>
          <w:bCs/>
          <w:sz w:val="24"/>
          <w:szCs w:val="24"/>
          <w:rtl/>
        </w:rPr>
      </w:pPr>
      <w:r>
        <w:rPr>
          <w:rFonts w:ascii="David" w:hAnsi="David" w:cs="David"/>
          <w:b/>
          <w:bCs/>
          <w:sz w:val="24"/>
          <w:szCs w:val="24"/>
          <w:rtl/>
        </w:rPr>
        <w:t xml:space="preserve">"כלל מוכר הוא שחזקה על אדם החותם על מסמך כי הוא קרא והסכים לתוכנו (ע"א 1513/99 חיים דטיאשוילי נ' בנק לאומי לישראל בע"מ, פ"ד נד (3) 591; ע"א 6645/00 שלמה ערד, עו"ד נ' ז'אק אבן, פ"ד נו (5) 365; ע"א 9136/02 מיסטר מאני ישראל בע"מ נ' שרה רייז, פ"ד נח (3) 934). </w:t>
      </w:r>
    </w:p>
    <w:p w:rsidR="008B0FB2" w:rsidRDefault="008B0FB2" w:rsidP="008B0FB2">
      <w:pPr>
        <w:pStyle w:val="Ruller4"/>
        <w:ind w:left="1134" w:right="567"/>
        <w:rPr>
          <w:rFonts w:ascii="David" w:hAnsi="David" w:cs="David"/>
          <w:b/>
          <w:bCs/>
          <w:sz w:val="24"/>
          <w:szCs w:val="24"/>
          <w:rtl/>
        </w:rPr>
      </w:pPr>
      <w:r>
        <w:rPr>
          <w:rFonts w:ascii="David" w:hAnsi="David" w:cs="David"/>
          <w:b/>
          <w:bCs/>
          <w:sz w:val="24"/>
          <w:szCs w:val="24"/>
          <w:u w:val="single"/>
          <w:rtl/>
        </w:rPr>
        <w:t>ראוי להבהיר את אופייה של החזקה שאדם החותם על מסמך קרא אותו (להלן: "חזקת ידיעת החותם"). חזקה זו הינה עובדתית אך לא רק. רוצה לומר, שהחזקה קובעת כי החותם קרא את המסמך בפועל. זהו מימד עובדתי אך לצידו קיים מימד משפטי. החותם נושא באחריות לחתימתו ואינו יכול ליהנות מעצימת עיניים</w:t>
      </w:r>
      <w:r>
        <w:rPr>
          <w:rFonts w:ascii="David" w:hAnsi="David" w:cs="David"/>
          <w:b/>
          <w:bCs/>
          <w:sz w:val="24"/>
          <w:szCs w:val="24"/>
          <w:rtl/>
        </w:rPr>
        <w:t xml:space="preserve">. [...] </w:t>
      </w:r>
      <w:r>
        <w:rPr>
          <w:rFonts w:ascii="David" w:hAnsi="David" w:cs="David"/>
          <w:b/>
          <w:bCs/>
          <w:sz w:val="24"/>
          <w:szCs w:val="24"/>
          <w:u w:val="single"/>
          <w:rtl/>
        </w:rPr>
        <w:t>תיאור זה מציג שילוב של ידיעה, יכולת לקרוא, בד בבד עם טענה בדבר בחירה שלא לקרוא. אין המשיבה יכולה ליהנות מטענה כזו</w:t>
      </w:r>
      <w:r>
        <w:rPr>
          <w:rFonts w:ascii="David" w:hAnsi="David" w:cs="David"/>
          <w:b/>
          <w:bCs/>
          <w:sz w:val="24"/>
          <w:szCs w:val="24"/>
          <w:rtl/>
        </w:rPr>
        <w:t>. זאת ועוד, במקרה זה, הידיעה של המשיבה גוברת על הסתייגויותיה משום שדי בידיעה כללית שהינה חותמת על היעדר זכויות במקרקעין – ביתה. מעדותה עולה שהבינה כי משמעות המסמך הוא היעדר זכויותיה בבית. חזקת "ידיעת החותם" היא אפוא עובדתית ומשפטית בתיק זה."</w:t>
      </w:r>
    </w:p>
    <w:p w:rsidR="008B0FB2" w:rsidRDefault="008B0FB2" w:rsidP="008B0FB2">
      <w:pPr>
        <w:pStyle w:val="aa"/>
        <w:spacing w:line="360" w:lineRule="auto"/>
        <w:ind w:left="567"/>
        <w:jc w:val="both"/>
        <w:rPr>
          <w:rFonts w:ascii="David" w:hAnsi="David"/>
          <w:rtl/>
        </w:rPr>
      </w:pPr>
      <w:r>
        <w:rPr>
          <w:rFonts w:ascii="David" w:hAnsi="David"/>
          <w:rtl/>
        </w:rPr>
        <w:t xml:space="preserve">ראו: </w:t>
      </w:r>
      <w:bookmarkStart w:id="81" w:name="casename_body"/>
      <w:r>
        <w:rPr>
          <w:rtl/>
        </w:rPr>
        <w:t>ע"א  8510/09</w:t>
      </w:r>
      <w:r>
        <w:rPr>
          <w:rFonts w:hint="cs"/>
        </w:rPr>
        <w:t xml:space="preserve"> </w:t>
      </w:r>
      <w:bookmarkEnd w:id="81"/>
      <w:r>
        <w:rPr>
          <w:rFonts w:ascii="David" w:hAnsi="David"/>
          <w:rtl/>
        </w:rPr>
        <w:t xml:space="preserve"> </w:t>
      </w:r>
      <w:r>
        <w:rPr>
          <w:rFonts w:ascii="Miriam" w:hAnsi="Miriam" w:cs="Miriam"/>
          <w:rtl/>
        </w:rPr>
        <w:t>בנק הפועלים בע"מ נ' נויברג ואח'</w:t>
      </w:r>
      <w:r>
        <w:rPr>
          <w:rFonts w:ascii="David" w:hAnsi="David"/>
          <w:rtl/>
        </w:rPr>
        <w:t xml:space="preserve"> סעיף 4 לפסק דינו של כב' השופט הנדל</w:t>
      </w:r>
      <w:r>
        <w:rPr>
          <w:rFonts w:ascii="Miriam" w:hAnsi="Miriam" w:cs="Miriam"/>
          <w:rtl/>
        </w:rPr>
        <w:t xml:space="preserve"> </w:t>
      </w:r>
      <w:r>
        <w:rPr>
          <w:rFonts w:ascii="David" w:hAnsi="David"/>
        </w:rPr>
        <w:t>24.11.2011)</w:t>
      </w:r>
      <w:r>
        <w:rPr>
          <w:rFonts w:ascii="David" w:hAnsi="David"/>
          <w:rtl/>
        </w:rPr>
        <w:t>).</w:t>
      </w:r>
    </w:p>
    <w:p w:rsidR="008B0FB2" w:rsidRDefault="008B0FB2" w:rsidP="008B0FB2">
      <w:pPr>
        <w:pStyle w:val="aa"/>
        <w:spacing w:line="360" w:lineRule="auto"/>
        <w:ind w:left="567"/>
        <w:jc w:val="both"/>
        <w:rPr>
          <w:rFonts w:ascii="David" w:hAnsi="David"/>
          <w:rtl/>
        </w:rPr>
      </w:pPr>
    </w:p>
    <w:p w:rsidR="008B0FB2" w:rsidRDefault="008B0FB2" w:rsidP="008B0FB2">
      <w:pPr>
        <w:pStyle w:val="aa"/>
        <w:numPr>
          <w:ilvl w:val="3"/>
          <w:numId w:val="1"/>
        </w:numPr>
        <w:spacing w:line="360" w:lineRule="auto"/>
        <w:jc w:val="both"/>
        <w:rPr>
          <w:rFonts w:ascii="David" w:hAnsi="David"/>
          <w:rtl/>
        </w:rPr>
      </w:pPr>
      <w:r>
        <w:rPr>
          <w:rFonts w:ascii="David" w:hAnsi="David"/>
          <w:rtl/>
        </w:rPr>
        <w:t xml:space="preserve">לכך יש להוסיף כי למרות שהבת הגישה תצהיר מטעמה של התובעת ולמרות שלנתבע טענות רבות מאוד להגנתו הקשורות בהתנהלות הבת, הוא בחר לוותר על חקירתה (ראו: פרוט' מיום 16.2.23, עמ' 46 שורות 28-31). </w:t>
      </w:r>
    </w:p>
    <w:p w:rsidR="008B0FB2" w:rsidRDefault="008B0FB2" w:rsidP="008B0FB2">
      <w:pPr>
        <w:pStyle w:val="aa"/>
        <w:spacing w:line="360" w:lineRule="auto"/>
        <w:ind w:left="567"/>
        <w:jc w:val="both"/>
        <w:rPr>
          <w:rFonts w:ascii="David" w:hAnsi="David"/>
          <w:b/>
          <w:bCs/>
          <w:highlight w:val="yellow"/>
        </w:rPr>
      </w:pPr>
    </w:p>
    <w:p w:rsidR="008B0FB2" w:rsidRDefault="008B0FB2" w:rsidP="008B0FB2">
      <w:pPr>
        <w:pStyle w:val="aa"/>
        <w:numPr>
          <w:ilvl w:val="3"/>
          <w:numId w:val="1"/>
        </w:numPr>
        <w:spacing w:line="360" w:lineRule="auto"/>
        <w:jc w:val="both"/>
        <w:rPr>
          <w:rFonts w:ascii="David" w:hAnsi="David"/>
        </w:rPr>
      </w:pPr>
      <w:r>
        <w:rPr>
          <w:rFonts w:ascii="David" w:hAnsi="David"/>
          <w:rtl/>
        </w:rPr>
        <w:t>העובדה כי בשתי ההעברות שבוצעו מצד הנתבע ביום 3.6.18 וביום 4.6.18 הנתבע ציין את סיבת התשלום כ"</w:t>
      </w:r>
      <w:r>
        <w:rPr>
          <w:rFonts w:ascii="David" w:hAnsi="David"/>
          <w:i/>
          <w:iCs/>
          <w:rtl/>
        </w:rPr>
        <w:t>החזר הלוואה</w:t>
      </w:r>
      <w:r>
        <w:rPr>
          <w:rFonts w:ascii="David" w:hAnsi="David"/>
          <w:rtl/>
        </w:rPr>
        <w:t xml:space="preserve">" וזאת בזמן אמת, ולפני שיש סכסוך בין הצדדים, מהוות ראיות בעל משקל משמעותי המחזק את טענות התובעת. </w:t>
      </w:r>
    </w:p>
    <w:p w:rsidR="008B0FB2" w:rsidRDefault="008B0FB2" w:rsidP="008B0FB2">
      <w:pPr>
        <w:pStyle w:val="aa"/>
        <w:spacing w:line="360" w:lineRule="auto"/>
        <w:ind w:left="567"/>
        <w:jc w:val="both"/>
        <w:rPr>
          <w:rFonts w:ascii="David" w:hAnsi="David"/>
          <w:b/>
          <w:bCs/>
        </w:rPr>
      </w:pPr>
    </w:p>
    <w:p w:rsidR="008B0FB2" w:rsidRDefault="008B0FB2" w:rsidP="008B0FB2">
      <w:pPr>
        <w:pStyle w:val="aa"/>
        <w:numPr>
          <w:ilvl w:val="3"/>
          <w:numId w:val="1"/>
        </w:numPr>
        <w:spacing w:line="360" w:lineRule="auto"/>
        <w:jc w:val="both"/>
        <w:rPr>
          <w:rFonts w:ascii="David" w:hAnsi="David"/>
        </w:rPr>
      </w:pPr>
      <w:r>
        <w:rPr>
          <w:rFonts w:ascii="David" w:hAnsi="David"/>
          <w:rtl/>
        </w:rPr>
        <w:t xml:space="preserve">לכך יש להוסיף כי </w:t>
      </w:r>
      <w:r>
        <w:rPr>
          <w:rFonts w:ascii="David" w:hAnsi="David"/>
          <w:b/>
          <w:bCs/>
          <w:rtl/>
        </w:rPr>
        <w:t>הנתבע</w:t>
      </w:r>
      <w:r>
        <w:rPr>
          <w:rFonts w:ascii="David" w:hAnsi="David"/>
          <w:rtl/>
        </w:rPr>
        <w:t xml:space="preserve"> בחקירתו הודה כי היו מספר הזדמנויות שבהן הוא והאם שוחחו, כשנפגשו, על אודות ההלוואה, וזאת על אף שהצדדים במחלוקת על תוכן השיחות: </w:t>
      </w:r>
    </w:p>
    <w:p w:rsidR="008B0FB2" w:rsidRDefault="008B0FB2" w:rsidP="008B0FB2">
      <w:pPr>
        <w:pStyle w:val="1"/>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"עו"ד פרחיה: כש</w:t>
      </w:r>
      <w:r>
        <w:rPr>
          <w:rFonts w:ascii="David" w:hAnsi="David" w:cs="David" w:hint="cs"/>
          <w:sz w:val="24"/>
          <w:szCs w:val="24"/>
          <w:u w:val="none"/>
          <w:rtl/>
        </w:rPr>
        <w:t>***</w:t>
      </w:r>
      <w:r>
        <w:rPr>
          <w:rFonts w:ascii="David" w:hAnsi="David" w:cs="David"/>
          <w:sz w:val="24"/>
          <w:szCs w:val="24"/>
          <w:u w:val="none"/>
          <w:rtl/>
        </w:rPr>
        <w:t xml:space="preserve"> שולחת, </w:t>
      </w:r>
      <w:bookmarkStart w:id="82" w:name="_ETM_Q_1609094"/>
      <w:bookmarkEnd w:id="82"/>
      <w:r>
        <w:rPr>
          <w:rFonts w:ascii="David" w:hAnsi="David" w:cs="David"/>
          <w:sz w:val="24"/>
          <w:szCs w:val="24"/>
          <w:u w:val="none"/>
          <w:rtl/>
        </w:rPr>
        <w:t xml:space="preserve">לא עורך הדין שלה, </w:t>
      </w:r>
      <w:r>
        <w:rPr>
          <w:rFonts w:ascii="David" w:hAnsi="David" w:cs="David" w:hint="cs"/>
          <w:sz w:val="24"/>
          <w:szCs w:val="24"/>
          <w:u w:val="none"/>
          <w:rtl/>
        </w:rPr>
        <w:t>***</w:t>
      </w:r>
      <w:r>
        <w:rPr>
          <w:rFonts w:ascii="David" w:hAnsi="David" w:cs="David"/>
          <w:sz w:val="24"/>
          <w:szCs w:val="24"/>
          <w:u w:val="none"/>
          <w:rtl/>
        </w:rPr>
        <w:t xml:space="preserve"> שולחת לך בוואטסאפ את המכתב, </w:t>
      </w:r>
      <w:bookmarkStart w:id="83" w:name="_ETM_Q_1613210"/>
      <w:bookmarkEnd w:id="83"/>
      <w:r>
        <w:rPr>
          <w:rFonts w:ascii="David" w:hAnsi="David" w:cs="David"/>
          <w:sz w:val="24"/>
          <w:szCs w:val="24"/>
          <w:u w:val="none"/>
          <w:rtl/>
        </w:rPr>
        <w:t xml:space="preserve">דבר שלשיטתך הוא הזיה והוא רע, אתה גם לא </w:t>
      </w:r>
      <w:bookmarkStart w:id="84" w:name="_ETM_Q_1617870"/>
      <w:bookmarkEnd w:id="84"/>
      <w:r>
        <w:rPr>
          <w:rFonts w:ascii="David" w:hAnsi="David" w:cs="David"/>
          <w:sz w:val="24"/>
          <w:szCs w:val="24"/>
          <w:u w:val="none"/>
          <w:rtl/>
        </w:rPr>
        <w:t>עונה?</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lastRenderedPageBreak/>
        <w:t xml:space="preserve">העד, מר ***: אתה יודע לכמה הודעות שהבת שלה שולחת לי שהיא </w:t>
      </w:r>
      <w:bookmarkStart w:id="85" w:name="_ETM_Q_1622742"/>
      <w:bookmarkEnd w:id="85"/>
      <w:r>
        <w:rPr>
          <w:rFonts w:ascii="David" w:hAnsi="David" w:cs="David"/>
          <w:sz w:val="24"/>
          <w:szCs w:val="24"/>
          <w:u w:val="none"/>
          <w:rtl/>
        </w:rPr>
        <w:t xml:space="preserve">כותבת שם גיליונות אתה ככה ואתה לא בא לילדים, מה </w:t>
      </w:r>
      <w:bookmarkStart w:id="86" w:name="_ETM_Q_1624379"/>
      <w:bookmarkEnd w:id="86"/>
      <w:r>
        <w:rPr>
          <w:rFonts w:ascii="David" w:hAnsi="David" w:cs="David"/>
          <w:sz w:val="24"/>
          <w:szCs w:val="24"/>
          <w:u w:val="none"/>
          <w:rtl/>
        </w:rPr>
        <w:t>אני אענה לה על כל הודעה?</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עו"ד פרחיה: הבנתי.</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עו"ד פרחיה: היא שולחת לך משהו שנראה מאוד מוזר. למה</w:t>
      </w:r>
      <w:bookmarkStart w:id="87" w:name="_ETM_Q_1672474"/>
      <w:bookmarkEnd w:id="87"/>
      <w:r>
        <w:rPr>
          <w:rFonts w:ascii="David" w:hAnsi="David" w:cs="David"/>
          <w:sz w:val="24"/>
          <w:szCs w:val="24"/>
          <w:u w:val="none"/>
          <w:rtl/>
        </w:rPr>
        <w:t xml:space="preserve"> אתה לא מברר (מדברים ביחד),</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 xml:space="preserve">העד, מר ***: זה לא נראה לי מוזר, זה כבר </w:t>
      </w:r>
      <w:bookmarkStart w:id="88" w:name="_ETM_Q_1677418"/>
      <w:bookmarkEnd w:id="88"/>
      <w:r>
        <w:rPr>
          <w:rFonts w:ascii="David" w:hAnsi="David" w:cs="David"/>
          <w:sz w:val="24"/>
          <w:szCs w:val="24"/>
          <w:u w:val="none"/>
          <w:rtl/>
        </w:rPr>
        <w:t>לא נראה לי מוזר.</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w:t>
      </w:r>
    </w:p>
    <w:p w:rsidR="008B0FB2" w:rsidRDefault="008B0FB2" w:rsidP="008B0FB2">
      <w:pPr>
        <w:pStyle w:val="1"/>
        <w:shd w:val="clear" w:color="auto" w:fill="auto"/>
        <w:spacing w:line="360" w:lineRule="auto"/>
        <w:ind w:left="567" w:firstLine="0"/>
        <w:jc w:val="both"/>
        <w:rPr>
          <w:rFonts w:ascii="David" w:hAnsi="David" w:cs="David"/>
          <w:sz w:val="24"/>
          <w:szCs w:val="24"/>
          <w:rtl/>
        </w:rPr>
      </w:pPr>
      <w:r>
        <w:rPr>
          <w:rFonts w:ascii="David" w:hAnsi="David" w:cs="David"/>
          <w:sz w:val="24"/>
          <w:szCs w:val="24"/>
          <w:u w:val="none"/>
          <w:rtl/>
        </w:rPr>
        <w:t xml:space="preserve">עו"ד פרחיה: </w:t>
      </w:r>
      <w:r>
        <w:rPr>
          <w:rFonts w:ascii="David" w:hAnsi="David" w:cs="David"/>
          <w:sz w:val="24"/>
          <w:szCs w:val="24"/>
          <w:rtl/>
        </w:rPr>
        <w:t xml:space="preserve">למה אתה לא מברר </w:t>
      </w:r>
      <w:bookmarkStart w:id="89" w:name="_ETM_Q_1681664"/>
      <w:bookmarkEnd w:id="89"/>
      <w:r>
        <w:rPr>
          <w:rFonts w:ascii="David" w:hAnsi="David" w:cs="David"/>
          <w:sz w:val="24"/>
          <w:szCs w:val="24"/>
          <w:rtl/>
        </w:rPr>
        <w:t>איתה לפחות מה המקור?</w:t>
      </w:r>
    </w:p>
    <w:p w:rsidR="008B0FB2" w:rsidRDefault="008B0FB2" w:rsidP="008B0FB2">
      <w:pPr>
        <w:pStyle w:val="1"/>
        <w:shd w:val="clear" w:color="auto" w:fill="auto"/>
        <w:spacing w:line="360" w:lineRule="auto"/>
        <w:ind w:left="567" w:firstLine="0"/>
        <w:jc w:val="both"/>
        <w:rPr>
          <w:rFonts w:ascii="David" w:hAnsi="David" w:cs="David"/>
          <w:sz w:val="24"/>
          <w:szCs w:val="24"/>
          <w:rtl/>
        </w:rPr>
      </w:pPr>
      <w:r>
        <w:rPr>
          <w:rFonts w:ascii="David" w:hAnsi="David" w:cs="David"/>
          <w:sz w:val="24"/>
          <w:szCs w:val="24"/>
          <w:rtl/>
        </w:rPr>
        <w:t>העד, מר ***: אני מסביר לך שאני דיברתי איתה.</w:t>
      </w:r>
    </w:p>
    <w:p w:rsidR="008B0FB2" w:rsidRDefault="008B0FB2" w:rsidP="008B0FB2">
      <w:pPr>
        <w:pStyle w:val="1"/>
        <w:shd w:val="clear" w:color="auto" w:fill="auto"/>
        <w:spacing w:line="360" w:lineRule="auto"/>
        <w:ind w:left="567" w:firstLine="0"/>
        <w:jc w:val="both"/>
        <w:rPr>
          <w:rFonts w:ascii="David" w:hAnsi="David" w:cs="David"/>
          <w:sz w:val="24"/>
          <w:szCs w:val="24"/>
          <w:rtl/>
        </w:rPr>
      </w:pPr>
      <w:r>
        <w:rPr>
          <w:rFonts w:ascii="David" w:hAnsi="David" w:cs="David"/>
          <w:sz w:val="24"/>
          <w:szCs w:val="24"/>
          <w:rtl/>
        </w:rPr>
        <w:t xml:space="preserve">עו"ד פרחיה: אז אתה </w:t>
      </w:r>
      <w:bookmarkStart w:id="90" w:name="_ETM_Q_1685923"/>
      <w:bookmarkEnd w:id="90"/>
      <w:r>
        <w:rPr>
          <w:rFonts w:ascii="David" w:hAnsi="David" w:cs="David"/>
          <w:sz w:val="24"/>
          <w:szCs w:val="24"/>
          <w:rtl/>
        </w:rPr>
        <w:t>כן דיברת איתה?</w:t>
      </w:r>
    </w:p>
    <w:p w:rsidR="008B0FB2" w:rsidRDefault="008B0FB2" w:rsidP="008B0FB2">
      <w:pPr>
        <w:pStyle w:val="1"/>
        <w:shd w:val="clear" w:color="auto" w:fill="auto"/>
        <w:spacing w:line="360" w:lineRule="auto"/>
        <w:ind w:left="567" w:firstLine="0"/>
        <w:jc w:val="both"/>
        <w:rPr>
          <w:rFonts w:ascii="David" w:hAnsi="David" w:cs="David"/>
          <w:sz w:val="24"/>
          <w:szCs w:val="24"/>
          <w:rtl/>
        </w:rPr>
      </w:pPr>
      <w:r>
        <w:rPr>
          <w:rFonts w:ascii="David" w:hAnsi="David" w:cs="David"/>
          <w:sz w:val="24"/>
          <w:szCs w:val="24"/>
          <w:rtl/>
        </w:rPr>
        <w:t>העד, מר ***: אנחנו דיברנו על זה.</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עו"ד פרחיה: מתי?</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 xml:space="preserve">העד, מר ***: אני, דיברתי עם </w:t>
      </w:r>
      <w:r>
        <w:rPr>
          <w:rFonts w:ascii="David" w:hAnsi="David" w:cs="David" w:hint="cs"/>
          <w:sz w:val="24"/>
          <w:szCs w:val="24"/>
          <w:u w:val="none"/>
          <w:rtl/>
        </w:rPr>
        <w:t>***</w:t>
      </w:r>
      <w:r>
        <w:rPr>
          <w:rFonts w:ascii="David" w:hAnsi="David" w:cs="David"/>
          <w:sz w:val="24"/>
          <w:szCs w:val="24"/>
          <w:u w:val="none"/>
          <w:rtl/>
        </w:rPr>
        <w:t xml:space="preserve">. מה </w:t>
      </w:r>
      <w:bookmarkStart w:id="91" w:name="_ETM_Q_1689472"/>
      <w:bookmarkEnd w:id="91"/>
      <w:r>
        <w:rPr>
          <w:rFonts w:ascii="David" w:hAnsi="David" w:cs="David"/>
          <w:sz w:val="24"/>
          <w:szCs w:val="24"/>
          <w:u w:val="none"/>
          <w:rtl/>
        </w:rPr>
        <w:t>זאת אומרת?</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עו"ד פרחיה: מתי?</w:t>
      </w:r>
    </w:p>
    <w:p w:rsidR="008B0FB2" w:rsidRDefault="008B0FB2" w:rsidP="008B0FB2">
      <w:pPr>
        <w:pStyle w:val="1"/>
        <w:shd w:val="clear" w:color="auto" w:fill="auto"/>
        <w:spacing w:line="360" w:lineRule="auto"/>
        <w:ind w:left="567" w:firstLine="0"/>
        <w:jc w:val="both"/>
        <w:rPr>
          <w:rFonts w:ascii="David" w:hAnsi="David" w:cs="David"/>
          <w:sz w:val="24"/>
          <w:szCs w:val="24"/>
          <w:rtl/>
        </w:rPr>
      </w:pPr>
      <w:r>
        <w:rPr>
          <w:rFonts w:ascii="David" w:hAnsi="David" w:cs="David"/>
          <w:sz w:val="24"/>
          <w:szCs w:val="24"/>
          <w:rtl/>
        </w:rPr>
        <w:t>העד, מר ***: בהרבה מאוד מצבים. היא,</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 xml:space="preserve">עו"ד פרחיה: תראה לי את הטלפון שלך שיש </w:t>
      </w:r>
      <w:bookmarkStart w:id="92" w:name="_ETM_Q_1695830"/>
      <w:bookmarkEnd w:id="92"/>
      <w:r>
        <w:rPr>
          <w:rFonts w:ascii="David" w:hAnsi="David" w:cs="David"/>
          <w:sz w:val="24"/>
          <w:szCs w:val="24"/>
          <w:u w:val="none"/>
          <w:rtl/>
        </w:rPr>
        <w:t>לה שיחה עם *** אחרי שקיבלת את המכתב.</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העד, מר ***: אני דיברתי איתה. היא אמרה לך שדיברנו בעל פה, אני הייתי אצל</w:t>
      </w:r>
      <w:bookmarkStart w:id="93" w:name="_ETM_Q_1697468"/>
      <w:bookmarkEnd w:id="93"/>
      <w:r>
        <w:rPr>
          <w:rFonts w:ascii="David" w:hAnsi="David" w:cs="David"/>
          <w:sz w:val="24"/>
          <w:szCs w:val="24"/>
          <w:u w:val="none"/>
          <w:rtl/>
        </w:rPr>
        <w:t>ה בבית.</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עו"ד פרחיה: אה, אז עכשיו אתה אומר לי שכן הגבת למכתב?</w:t>
      </w:r>
      <w:bookmarkStart w:id="94" w:name="_ETM_Q_1701689"/>
      <w:bookmarkEnd w:id="94"/>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 xml:space="preserve">העד, מר ***: אתה </w:t>
      </w:r>
      <w:bookmarkStart w:id="95" w:name="_ETM_Q_1702844"/>
      <w:bookmarkEnd w:id="95"/>
      <w:r>
        <w:rPr>
          <w:rFonts w:ascii="David" w:hAnsi="David" w:cs="David"/>
          <w:sz w:val="24"/>
          <w:szCs w:val="24"/>
          <w:u w:val="none"/>
          <w:rtl/>
        </w:rPr>
        <w:t xml:space="preserve">שמעת אותי אומר שהגבתי למכתב? </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עו"ד פרחיה: כן אז?</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העד, מר ***: אני אומר שדיברתי איתה, היינו בתקשורת. אני ו*** לא רבנו, לא היה בינינו ריב.</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עו"ד פרחיה: מה אמרת</w:t>
      </w:r>
      <w:bookmarkStart w:id="96" w:name="_ETM_Q_1709172"/>
      <w:bookmarkEnd w:id="96"/>
      <w:r>
        <w:rPr>
          <w:rFonts w:ascii="David" w:hAnsi="David" w:cs="David"/>
          <w:sz w:val="24"/>
          <w:szCs w:val="24"/>
          <w:u w:val="none"/>
          <w:rtl/>
        </w:rPr>
        <w:t xml:space="preserve"> לה?</w:t>
      </w:r>
    </w:p>
    <w:p w:rsidR="008B0FB2" w:rsidRDefault="008B0FB2" w:rsidP="008B0FB2">
      <w:pPr>
        <w:pStyle w:val="1"/>
        <w:shd w:val="clear" w:color="auto" w:fill="auto"/>
        <w:spacing w:line="360" w:lineRule="auto"/>
        <w:ind w:left="567" w:firstLine="0"/>
        <w:jc w:val="both"/>
        <w:rPr>
          <w:rFonts w:ascii="David" w:hAnsi="David" w:cs="David"/>
          <w:sz w:val="24"/>
          <w:szCs w:val="24"/>
          <w:rtl/>
        </w:rPr>
      </w:pPr>
      <w:r>
        <w:rPr>
          <w:rFonts w:ascii="David" w:hAnsi="David" w:cs="David"/>
          <w:sz w:val="24"/>
          <w:szCs w:val="24"/>
          <w:rtl/>
        </w:rPr>
        <w:t>העד, מר ***: אנחנו דיברנו על זה.</w:t>
      </w:r>
    </w:p>
    <w:p w:rsidR="008B0FB2" w:rsidRDefault="008B0FB2" w:rsidP="008B0FB2">
      <w:pPr>
        <w:pStyle w:val="1"/>
        <w:shd w:val="clear" w:color="auto" w:fill="auto"/>
        <w:spacing w:line="360" w:lineRule="auto"/>
        <w:ind w:left="567" w:firstLine="0"/>
        <w:jc w:val="both"/>
        <w:rPr>
          <w:rFonts w:ascii="David" w:hAnsi="David" w:cs="David"/>
          <w:sz w:val="24"/>
          <w:szCs w:val="24"/>
          <w:rtl/>
        </w:rPr>
      </w:pPr>
      <w:r>
        <w:rPr>
          <w:rFonts w:ascii="David" w:hAnsi="David" w:cs="David"/>
          <w:sz w:val="24"/>
          <w:szCs w:val="24"/>
          <w:rtl/>
        </w:rPr>
        <w:t>עו"ד פרחיה: מתי?</w:t>
      </w:r>
    </w:p>
    <w:p w:rsidR="008B0FB2" w:rsidRDefault="008B0FB2" w:rsidP="008B0FB2">
      <w:pPr>
        <w:pStyle w:val="1"/>
        <w:shd w:val="clear" w:color="auto" w:fill="auto"/>
        <w:spacing w:line="360" w:lineRule="auto"/>
        <w:ind w:left="567" w:firstLine="0"/>
        <w:jc w:val="both"/>
        <w:rPr>
          <w:rFonts w:ascii="David" w:hAnsi="David" w:cs="David"/>
          <w:b w:val="0"/>
          <w:bCs w:val="0"/>
          <w:sz w:val="24"/>
          <w:szCs w:val="24"/>
          <w:u w:val="none"/>
          <w:rtl/>
        </w:rPr>
      </w:pPr>
      <w:r>
        <w:rPr>
          <w:rFonts w:ascii="David" w:hAnsi="David" w:cs="David"/>
          <w:sz w:val="24"/>
          <w:szCs w:val="24"/>
          <w:rtl/>
        </w:rPr>
        <w:t xml:space="preserve">העד, מר ***: כל פעם ש*** הייתה באה ומנפחת לי את הראש על העניין של הלוואה אני דיברתי עם ***. </w:t>
      </w:r>
      <w:bookmarkStart w:id="97" w:name="_ETM_Q_1715714"/>
      <w:bookmarkEnd w:id="97"/>
      <w:r>
        <w:rPr>
          <w:rFonts w:ascii="David" w:hAnsi="David" w:cs="David"/>
          <w:sz w:val="24"/>
          <w:szCs w:val="24"/>
          <w:rtl/>
        </w:rPr>
        <w:t>*** לא היה לה מה לעשות עם זה</w:t>
      </w:r>
      <w:r>
        <w:rPr>
          <w:rFonts w:ascii="David" w:hAnsi="David" w:cs="David"/>
          <w:sz w:val="24"/>
          <w:szCs w:val="24"/>
          <w:u w:val="none"/>
          <w:rtl/>
        </w:rPr>
        <w:t xml:space="preserve">." </w:t>
      </w:r>
      <w:r>
        <w:rPr>
          <w:rFonts w:ascii="David" w:hAnsi="David" w:cs="David"/>
          <w:b w:val="0"/>
          <w:bCs w:val="0"/>
          <w:sz w:val="24"/>
          <w:szCs w:val="24"/>
          <w:u w:val="none"/>
          <w:rtl/>
        </w:rPr>
        <w:t>(ההדגשות בקו – הוספו).</w:t>
      </w:r>
    </w:p>
    <w:p w:rsidR="008B0FB2" w:rsidRDefault="008B0FB2" w:rsidP="008B0FB2">
      <w:pPr>
        <w:pStyle w:val="1"/>
        <w:shd w:val="clear" w:color="auto" w:fill="auto"/>
        <w:spacing w:line="360" w:lineRule="auto"/>
        <w:ind w:left="567" w:firstLine="0"/>
        <w:jc w:val="both"/>
        <w:rPr>
          <w:rFonts w:ascii="David" w:hAnsi="David" w:cs="David"/>
          <w:b w:val="0"/>
          <w:bCs w:val="0"/>
          <w:sz w:val="24"/>
          <w:szCs w:val="24"/>
          <w:u w:val="none"/>
          <w:rtl/>
        </w:rPr>
      </w:pPr>
      <w:r>
        <w:rPr>
          <w:rFonts w:ascii="David" w:hAnsi="David" w:cs="David"/>
          <w:b w:val="0"/>
          <w:bCs w:val="0"/>
          <w:sz w:val="24"/>
          <w:szCs w:val="24"/>
          <w:u w:val="none"/>
          <w:rtl/>
        </w:rPr>
        <w:t>(ראו: פרוט' מיום 16.2.2023, עמ' 81, שורות 35-23; עמ' 82, עמ' 83, שורות 9-1).</w:t>
      </w:r>
    </w:p>
    <w:p w:rsidR="008B0FB2" w:rsidRDefault="008B0FB2" w:rsidP="008B0FB2">
      <w:pPr>
        <w:pStyle w:val="1"/>
        <w:shd w:val="clear" w:color="auto" w:fill="auto"/>
        <w:spacing w:line="360" w:lineRule="auto"/>
        <w:ind w:left="567" w:firstLine="0"/>
        <w:jc w:val="both"/>
        <w:rPr>
          <w:rFonts w:ascii="David" w:hAnsi="David" w:cs="David"/>
          <w:b w:val="0"/>
          <w:bCs w:val="0"/>
          <w:sz w:val="24"/>
          <w:szCs w:val="24"/>
          <w:u w:val="none"/>
          <w:rtl/>
        </w:rPr>
      </w:pPr>
    </w:p>
    <w:p w:rsidR="008B0FB2" w:rsidRDefault="008B0FB2" w:rsidP="008B0FB2">
      <w:pPr>
        <w:pStyle w:val="aa"/>
        <w:numPr>
          <w:ilvl w:val="3"/>
          <w:numId w:val="1"/>
        </w:numPr>
        <w:spacing w:line="360" w:lineRule="auto"/>
        <w:jc w:val="both"/>
        <w:rPr>
          <w:rFonts w:ascii="David" w:hAnsi="David"/>
          <w:b/>
          <w:bCs/>
          <w:rtl/>
        </w:rPr>
      </w:pPr>
      <w:r>
        <w:rPr>
          <w:rFonts w:ascii="David" w:hAnsi="David"/>
          <w:b/>
          <w:bCs/>
          <w:rtl/>
        </w:rPr>
        <w:t>התובעת</w:t>
      </w:r>
      <w:r>
        <w:rPr>
          <w:rFonts w:ascii="David" w:hAnsi="David"/>
          <w:rtl/>
        </w:rPr>
        <w:t xml:space="preserve"> ציינה בחקירה כי לאורך השנים היא ביקשה מהנתבע את החזר ההלוואה ונענתה, פעם אחר פעם, בתירוצים שונים שהקנו לנתבע עוד זמן:</w:t>
      </w:r>
    </w:p>
    <w:p w:rsidR="008B0FB2" w:rsidRDefault="008B0FB2" w:rsidP="008B0FB2">
      <w:pPr>
        <w:pStyle w:val="1"/>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"10 שנים אני</w:t>
      </w:r>
      <w:bookmarkStart w:id="98" w:name="_ETM_Q_1667632"/>
      <w:bookmarkEnd w:id="98"/>
      <w:r>
        <w:rPr>
          <w:rFonts w:ascii="David" w:hAnsi="David" w:cs="David"/>
          <w:sz w:val="24"/>
          <w:szCs w:val="24"/>
          <w:u w:val="none"/>
          <w:rtl/>
        </w:rPr>
        <w:t xml:space="preserve"> לא, ביקשתי אבל לא לחצתי כי א. כשאני ביקשתי</w:t>
      </w:r>
      <w:bookmarkStart w:id="99" w:name="_ETM_Q_1673254"/>
      <w:bookmarkEnd w:id="99"/>
      <w:r>
        <w:rPr>
          <w:rFonts w:ascii="David" w:hAnsi="David" w:cs="David"/>
          <w:sz w:val="24"/>
          <w:szCs w:val="24"/>
          <w:u w:val="none"/>
          <w:rtl/>
        </w:rPr>
        <w:t xml:space="preserve"> הייתה מהומת אלוהים בבית, היו צעקות. ליד הילדים, השתדלתי </w:t>
      </w:r>
      <w:bookmarkStart w:id="100" w:name="_ETM_Q_1677118"/>
      <w:bookmarkEnd w:id="100"/>
      <w:r>
        <w:rPr>
          <w:rFonts w:ascii="David" w:hAnsi="David" w:cs="David"/>
          <w:sz w:val="24"/>
          <w:szCs w:val="24"/>
          <w:u w:val="none"/>
          <w:rtl/>
        </w:rPr>
        <w:t>לא לבקש אף פעם ליד הילדים. מדי פעם פשוט הייתי מוציאה אותו החוצה, כאילו אני צריכה לטייל וכולי, ומבקשת אוקיי?</w:t>
      </w:r>
      <w:bookmarkStart w:id="101" w:name="_ETM_Q_1686872"/>
      <w:bookmarkEnd w:id="101"/>
      <w:r>
        <w:rPr>
          <w:rFonts w:ascii="David" w:hAnsi="David" w:cs="David"/>
          <w:sz w:val="24"/>
          <w:szCs w:val="24"/>
          <w:u w:val="none"/>
          <w:rtl/>
        </w:rPr>
        <w:t xml:space="preserve"> אני, זה חתני, </w:t>
      </w:r>
      <w:r>
        <w:rPr>
          <w:rFonts w:ascii="David" w:hAnsi="David" w:cs="David"/>
          <w:sz w:val="24"/>
          <w:szCs w:val="24"/>
          <w:u w:val="none"/>
          <w:rtl/>
        </w:rPr>
        <w:lastRenderedPageBreak/>
        <w:t>הילדים שלי, הילדים שלו נכדיי, אני לא</w:t>
      </w:r>
      <w:bookmarkStart w:id="102" w:name="_ETM_Q_1691992"/>
      <w:bookmarkEnd w:id="102"/>
      <w:r>
        <w:rPr>
          <w:rFonts w:ascii="David" w:hAnsi="David" w:cs="David"/>
          <w:sz w:val="24"/>
          <w:szCs w:val="24"/>
          <w:u w:val="none"/>
          <w:rtl/>
        </w:rPr>
        <w:t xml:space="preserve"> אעשה דברים, כל פעם הוא אמר לי "עוד מעט ייכנס</w:t>
      </w:r>
      <w:bookmarkStart w:id="103" w:name="_ETM_Q_1696711"/>
      <w:bookmarkEnd w:id="103"/>
      <w:r>
        <w:rPr>
          <w:rFonts w:ascii="David" w:hAnsi="David" w:cs="David"/>
          <w:sz w:val="24"/>
          <w:szCs w:val="24"/>
          <w:u w:val="none"/>
          <w:rtl/>
        </w:rPr>
        <w:t xml:space="preserve">, עוד מעט ייכנס מאבי נמני. הנה אני מוכר את הדירה. הנה, הנה, הנה, אל תדאגי. אני תמיד אדאג לך. גם אם אנחנו לא נהיה ביחד", </w:t>
      </w:r>
      <w:bookmarkStart w:id="104" w:name="_ETM_Q_1705001"/>
      <w:bookmarkEnd w:id="104"/>
      <w:r>
        <w:rPr>
          <w:rFonts w:ascii="David" w:hAnsi="David" w:cs="David"/>
          <w:sz w:val="24"/>
          <w:szCs w:val="24"/>
          <w:u w:val="none"/>
          <w:rtl/>
        </w:rPr>
        <w:t xml:space="preserve">וזוגתו, בתי, "אני אדאג לך". עלינו לקבר של בעלי, ניקה </w:t>
      </w:r>
      <w:bookmarkStart w:id="105" w:name="_ETM_Q_1709998"/>
      <w:bookmarkEnd w:id="105"/>
      <w:r>
        <w:rPr>
          <w:rFonts w:ascii="David" w:hAnsi="David" w:cs="David"/>
          <w:sz w:val="24"/>
          <w:szCs w:val="24"/>
          <w:u w:val="none"/>
          <w:rtl/>
        </w:rPr>
        <w:t>את כל הקבר אוקיי? ונשבע על הקבר שהוא ידאג לנו.</w:t>
      </w:r>
      <w:bookmarkStart w:id="106" w:name="_ETM_Q_1715272"/>
      <w:bookmarkEnd w:id="106"/>
      <w:r>
        <w:rPr>
          <w:rFonts w:ascii="David" w:hAnsi="David" w:cs="David"/>
          <w:sz w:val="24"/>
          <w:szCs w:val="24"/>
          <w:u w:val="none"/>
          <w:rtl/>
        </w:rPr>
        <w:t xml:space="preserve"> הבנת? יופי."</w:t>
      </w:r>
    </w:p>
    <w:p w:rsidR="008B0FB2" w:rsidRDefault="008B0FB2" w:rsidP="008B0FB2">
      <w:pPr>
        <w:pStyle w:val="1"/>
        <w:shd w:val="clear" w:color="auto" w:fill="auto"/>
        <w:spacing w:line="360" w:lineRule="auto"/>
        <w:ind w:left="567" w:firstLine="0"/>
        <w:jc w:val="both"/>
        <w:rPr>
          <w:rFonts w:ascii="David" w:hAnsi="David" w:cs="David"/>
          <w:b w:val="0"/>
          <w:bCs w:val="0"/>
          <w:sz w:val="24"/>
          <w:szCs w:val="24"/>
          <w:u w:val="none"/>
          <w:rtl/>
        </w:rPr>
      </w:pPr>
      <w:r>
        <w:rPr>
          <w:rFonts w:ascii="David" w:hAnsi="David" w:cs="David"/>
          <w:b w:val="0"/>
          <w:bCs w:val="0"/>
          <w:sz w:val="24"/>
          <w:szCs w:val="24"/>
          <w:u w:val="none"/>
          <w:rtl/>
        </w:rPr>
        <w:t>(ראו: פרוט' מיום 16.2.2023, עמ' 23, שורות 9-1).</w:t>
      </w:r>
    </w:p>
    <w:p w:rsidR="008B0FB2" w:rsidRDefault="008B0FB2" w:rsidP="008B0FB2">
      <w:pPr>
        <w:pStyle w:val="1"/>
        <w:shd w:val="clear" w:color="auto" w:fill="auto"/>
        <w:spacing w:line="360" w:lineRule="auto"/>
        <w:ind w:left="567" w:firstLine="0"/>
        <w:jc w:val="both"/>
        <w:rPr>
          <w:rFonts w:ascii="David" w:hAnsi="David" w:cs="David"/>
          <w:b w:val="0"/>
          <w:bCs w:val="0"/>
          <w:sz w:val="24"/>
          <w:szCs w:val="24"/>
          <w:u w:val="none"/>
          <w:rtl/>
        </w:rPr>
      </w:pPr>
    </w:p>
    <w:p w:rsidR="008B0FB2" w:rsidRDefault="008B0FB2" w:rsidP="008B0FB2">
      <w:pPr>
        <w:pStyle w:val="aa"/>
        <w:numPr>
          <w:ilvl w:val="3"/>
          <w:numId w:val="1"/>
        </w:numPr>
        <w:spacing w:line="360" w:lineRule="auto"/>
        <w:jc w:val="both"/>
        <w:rPr>
          <w:rFonts w:ascii="David" w:hAnsi="David"/>
          <w:b/>
          <w:bCs/>
          <w:rtl/>
        </w:rPr>
      </w:pPr>
      <w:r>
        <w:rPr>
          <w:rtl/>
        </w:rPr>
        <w:t xml:space="preserve">עוד יצוין, כי </w:t>
      </w:r>
      <w:r>
        <w:rPr>
          <w:b/>
          <w:bCs/>
          <w:rtl/>
        </w:rPr>
        <w:t>הנתבע</w:t>
      </w:r>
      <w:r>
        <w:rPr>
          <w:rtl/>
        </w:rPr>
        <w:t xml:space="preserve"> הודה בחקירתו כי הצורך שלו בכספים עלה מתוך חוב אישי שלו, שלא קשור </w:t>
      </w:r>
      <w:r>
        <w:rPr>
          <w:rFonts w:ascii="David" w:hAnsi="David"/>
          <w:rtl/>
        </w:rPr>
        <w:t>בהוצאות</w:t>
      </w:r>
      <w:r>
        <w:rPr>
          <w:rtl/>
        </w:rPr>
        <w:t xml:space="preserve"> המשותפות שלו ושל הבת. אלא, שהוא חזר ונימק את דרישתו זו מהבת, מהסיבה שהוא היה זה שנשא במלוא ההוצאות חיי המשפחה והגיעה העת של הבת לתת את תרומתה (וזאת כאמור יש לקחת בחשבון כאשר הוא ויתר על חקירתה של הבת). גם טענה זו דינה להידחות. שכן, לצד כל האמור, הנתבע הבהיר באופן ברור כי הייתה בינו לבין הבת הפרדה רכושית מלאה. גם מטעם זה, אפשר להניח, כי מתן הכספים יהווה הלוואה ולא מתנה:</w:t>
      </w:r>
    </w:p>
    <w:p w:rsidR="008B0FB2" w:rsidRDefault="008B0FB2" w:rsidP="008B0FB2">
      <w:pPr>
        <w:pStyle w:val="1"/>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"העד, מר ***: ואז הייתי צריך לשלם סכום נוסף עד תאריך </w:t>
      </w:r>
      <w:bookmarkStart w:id="107" w:name="_ETM_Q_1022085"/>
      <w:bookmarkEnd w:id="107"/>
      <w:r>
        <w:rPr>
          <w:rFonts w:ascii="David" w:hAnsi="David" w:cs="David"/>
          <w:sz w:val="24"/>
          <w:szCs w:val="24"/>
          <w:u w:val="none"/>
          <w:rtl/>
        </w:rPr>
        <w:t xml:space="preserve">מסוים של 200 אלף ש"ח. ביקשתי מ***, בגלל שאנחנו חיים </w:t>
      </w:r>
      <w:bookmarkStart w:id="108" w:name="_ETM_Q_1026862"/>
      <w:bookmarkEnd w:id="108"/>
      <w:r>
        <w:rPr>
          <w:rFonts w:ascii="David" w:hAnsi="David" w:cs="David"/>
          <w:sz w:val="24"/>
          <w:szCs w:val="24"/>
          <w:u w:val="none"/>
          <w:rtl/>
        </w:rPr>
        <w:t>חיים משותפים, בגלל שאנחנו ידועים בציבור ובגלל שאני חושב שהיא, אני לא אוותר על העניין הזה שהיא תכניס את</w:t>
      </w:r>
      <w:bookmarkStart w:id="109" w:name="_ETM_Q_1032969"/>
      <w:bookmarkEnd w:id="109"/>
      <w:r>
        <w:rPr>
          <w:rFonts w:ascii="David" w:hAnsi="David" w:cs="David"/>
          <w:sz w:val="24"/>
          <w:szCs w:val="24"/>
          <w:u w:val="none"/>
          <w:rtl/>
        </w:rPr>
        <w:t xml:space="preserve"> היד לכיס שלה,</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עו"ד פרחיה: כן?</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 xml:space="preserve">העד, מר ***: כי אני ידעתי שיש לה כסף בבנק. שהיא </w:t>
      </w:r>
      <w:bookmarkStart w:id="110" w:name="_ETM_Q_1037550"/>
      <w:bookmarkEnd w:id="110"/>
      <w:r>
        <w:rPr>
          <w:rFonts w:ascii="David" w:hAnsi="David" w:cs="David"/>
          <w:sz w:val="24"/>
          <w:szCs w:val="24"/>
          <w:u w:val="none"/>
          <w:rtl/>
        </w:rPr>
        <w:t xml:space="preserve">תעזור לי בסיטואציה ותיתן לי את ה200 אלף שקל במקום </w:t>
      </w:r>
      <w:bookmarkStart w:id="111" w:name="_ETM_Q_1041215"/>
      <w:bookmarkEnd w:id="111"/>
      <w:r>
        <w:rPr>
          <w:rFonts w:ascii="David" w:hAnsi="David" w:cs="David"/>
          <w:sz w:val="24"/>
          <w:szCs w:val="24"/>
          <w:u w:val="none"/>
          <w:rtl/>
        </w:rPr>
        <w:t>שאני אצטרך לקחת הלוואה מהבנק, כדי שאני אוכל לשלם את</w:t>
      </w:r>
      <w:bookmarkStart w:id="112" w:name="_ETM_Q_1044784"/>
      <w:bookmarkEnd w:id="112"/>
      <w:r>
        <w:rPr>
          <w:rFonts w:ascii="David" w:hAnsi="David" w:cs="David"/>
          <w:sz w:val="24"/>
          <w:szCs w:val="24"/>
          <w:u w:val="none"/>
          <w:rtl/>
        </w:rPr>
        <w:t xml:space="preserve"> הדבר הזה, ואז אני אמשיך לשלם את כל שאר </w:t>
      </w:r>
      <w:bookmarkStart w:id="113" w:name="_ETM_Q_1048190"/>
      <w:bookmarkEnd w:id="113"/>
      <w:r>
        <w:rPr>
          <w:rFonts w:ascii="David" w:hAnsi="David" w:cs="David"/>
          <w:sz w:val="24"/>
          <w:szCs w:val="24"/>
          <w:u w:val="none"/>
          <w:rtl/>
        </w:rPr>
        <w:t>הדברים.</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עו"ד פרחיה: זה היה חוב שלה או חוב שלך, החצי מיליון הזה?</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 xml:space="preserve">העד, מר ***: החצי </w:t>
      </w:r>
      <w:bookmarkStart w:id="114" w:name="_ETM_Q_1052932"/>
      <w:bookmarkEnd w:id="114"/>
      <w:r>
        <w:rPr>
          <w:rFonts w:ascii="David" w:hAnsi="David" w:cs="David"/>
          <w:sz w:val="24"/>
          <w:szCs w:val="24"/>
          <w:u w:val="none"/>
          <w:rtl/>
        </w:rPr>
        <w:t>מיליון?</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עו"ד פרחיה: כן.</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העד, מר ***: חוב שלי.</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 xml:space="preserve">עו"ד פרחיה: חוב שלך. </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העד, מר ***: כן."</w:t>
      </w:r>
    </w:p>
    <w:p w:rsidR="008B0FB2" w:rsidRDefault="008B0FB2" w:rsidP="008B0FB2">
      <w:pPr>
        <w:pStyle w:val="1"/>
        <w:shd w:val="clear" w:color="auto" w:fill="auto"/>
        <w:spacing w:line="360" w:lineRule="auto"/>
        <w:ind w:left="567" w:firstLine="0"/>
        <w:jc w:val="both"/>
        <w:rPr>
          <w:rFonts w:ascii="David" w:hAnsi="David" w:cs="David"/>
          <w:b w:val="0"/>
          <w:bCs w:val="0"/>
          <w:sz w:val="24"/>
          <w:szCs w:val="24"/>
          <w:u w:val="none"/>
          <w:rtl/>
        </w:rPr>
      </w:pPr>
      <w:r>
        <w:rPr>
          <w:rFonts w:ascii="David" w:hAnsi="David" w:cs="David"/>
          <w:b w:val="0"/>
          <w:bCs w:val="0"/>
          <w:sz w:val="24"/>
          <w:szCs w:val="24"/>
          <w:u w:val="none"/>
          <w:rtl/>
        </w:rPr>
        <w:t>(ראו: פרוט' מיום 16.2.2023, עמ' 54, שורות 30-17).</w:t>
      </w:r>
    </w:p>
    <w:p w:rsidR="008B0FB2" w:rsidRDefault="008B0FB2" w:rsidP="008B0FB2">
      <w:pPr>
        <w:pStyle w:val="1"/>
        <w:shd w:val="clear" w:color="auto" w:fill="auto"/>
        <w:spacing w:line="360" w:lineRule="auto"/>
        <w:ind w:left="567" w:firstLine="0"/>
        <w:jc w:val="both"/>
        <w:rPr>
          <w:rFonts w:ascii="David" w:hAnsi="David" w:cs="David"/>
          <w:b w:val="0"/>
          <w:bCs w:val="0"/>
          <w:sz w:val="24"/>
          <w:szCs w:val="24"/>
          <w:u w:val="none"/>
          <w:rtl/>
        </w:rPr>
      </w:pPr>
    </w:p>
    <w:p w:rsidR="008B0FB2" w:rsidRDefault="008B0FB2" w:rsidP="008B0FB2">
      <w:pPr>
        <w:pStyle w:val="aa"/>
        <w:numPr>
          <w:ilvl w:val="3"/>
          <w:numId w:val="1"/>
        </w:numPr>
        <w:spacing w:line="360" w:lineRule="auto"/>
        <w:jc w:val="both"/>
        <w:rPr>
          <w:rFonts w:ascii="David" w:hAnsi="David"/>
          <w:b/>
          <w:bCs/>
          <w:rtl/>
        </w:rPr>
      </w:pPr>
      <w:r>
        <w:rPr>
          <w:rFonts w:ascii="David" w:hAnsi="David"/>
          <w:b/>
          <w:bCs/>
          <w:rtl/>
        </w:rPr>
        <w:t>התובעת</w:t>
      </w:r>
      <w:r>
        <w:rPr>
          <w:rFonts w:ascii="David" w:hAnsi="David"/>
          <w:rtl/>
        </w:rPr>
        <w:t xml:space="preserve"> אף הסבירה כי היא נתנה את הכספים ישירות לנתבע, שכן הוא היה צריך אותו לענייניו, ולבת לא היה קשר לכך:</w:t>
      </w:r>
    </w:p>
    <w:p w:rsidR="008B0FB2" w:rsidRDefault="008B0FB2" w:rsidP="008B0FB2">
      <w:pPr>
        <w:pStyle w:val="1"/>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"העד, גב' ***: הוא לא היה צריך להראות לי שהוא </w:t>
      </w:r>
      <w:bookmarkStart w:id="115" w:name="_ETM_Q_967302"/>
      <w:bookmarkEnd w:id="115"/>
      <w:r>
        <w:rPr>
          <w:rFonts w:ascii="David" w:hAnsi="David" w:cs="David"/>
          <w:sz w:val="24"/>
          <w:szCs w:val="24"/>
          <w:u w:val="none"/>
          <w:rtl/>
        </w:rPr>
        <w:t>בעל ממון בזמן ההלוואה, ידעתי את כל זה מראש. ולכן,</w:t>
      </w:r>
      <w:bookmarkStart w:id="116" w:name="_ETM_Q_972178"/>
      <w:bookmarkEnd w:id="116"/>
      <w:r>
        <w:rPr>
          <w:rFonts w:ascii="David" w:hAnsi="David" w:cs="David"/>
          <w:sz w:val="24"/>
          <w:szCs w:val="24"/>
          <w:u w:val="none"/>
          <w:rtl/>
        </w:rPr>
        <w:t xml:space="preserve"> וכשהוא בא ואמר לי "זה רק לשלושה חודשים בגלל </w:t>
      </w:r>
      <w:bookmarkStart w:id="117" w:name="_ETM_Q_975713"/>
      <w:bookmarkEnd w:id="117"/>
      <w:r>
        <w:rPr>
          <w:rFonts w:ascii="David" w:hAnsi="David" w:cs="David"/>
          <w:sz w:val="24"/>
          <w:szCs w:val="24"/>
          <w:u w:val="none"/>
          <w:rtl/>
        </w:rPr>
        <w:t xml:space="preserve">שזה עניין מאוד טכני", לא הייתה לי שום סיבה </w:t>
      </w:r>
      <w:bookmarkStart w:id="118" w:name="_ETM_Q_977764"/>
      <w:bookmarkEnd w:id="118"/>
      <w:r>
        <w:rPr>
          <w:rFonts w:ascii="David" w:hAnsi="David" w:cs="David"/>
          <w:sz w:val="24"/>
          <w:szCs w:val="24"/>
          <w:u w:val="none"/>
          <w:rtl/>
        </w:rPr>
        <w:t>שאני לא אתן גם מבחינה משפחתית ולכן גם לא היה הסכם.</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 xml:space="preserve">עו"ד לוזון: אז למה לא נתת לבת שלך? </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העד, גב' ***: למה שאני</w:t>
      </w:r>
      <w:bookmarkStart w:id="119" w:name="_ETM_Q_985645"/>
      <w:bookmarkEnd w:id="119"/>
      <w:r>
        <w:rPr>
          <w:rFonts w:ascii="David" w:hAnsi="David" w:cs="David"/>
          <w:sz w:val="24"/>
          <w:szCs w:val="24"/>
          <w:u w:val="none"/>
          <w:rtl/>
        </w:rPr>
        <w:t xml:space="preserve"> אתן לבת שלי כשהוא צריך את זה לענייניו?</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עו"ד לוזון: הם ביחד.</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lastRenderedPageBreak/>
        <w:t>העד, גב' ***: אז מה?</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עו"ד לוזון: אוקיי.</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העד, גב' ***:</w:t>
      </w:r>
      <w:r>
        <w:rPr>
          <w:rFonts w:ascii="David" w:hAnsi="David" w:cs="David"/>
          <w:sz w:val="24"/>
          <w:szCs w:val="24"/>
          <w:u w:val="none"/>
          <w:rtl/>
        </w:rPr>
        <w:tab/>
        <w:t xml:space="preserve">אז </w:t>
      </w:r>
      <w:bookmarkStart w:id="120" w:name="_ETM_Q_990879"/>
      <w:bookmarkEnd w:id="120"/>
      <w:r>
        <w:rPr>
          <w:rFonts w:ascii="David" w:hAnsi="David" w:cs="David"/>
          <w:sz w:val="24"/>
          <w:szCs w:val="24"/>
          <w:u w:val="none"/>
          <w:rtl/>
        </w:rPr>
        <w:t>מה?</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עו"ד לוזון: אז מה.</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 xml:space="preserve">העד, גב' ***: זה רכוש שלא משותף, יש חיים משותפים, זה ביניהם, </w:t>
      </w:r>
      <w:bookmarkStart w:id="121" w:name="_ETM_Q_994024"/>
      <w:bookmarkEnd w:id="121"/>
      <w:r>
        <w:rPr>
          <w:rFonts w:ascii="David" w:hAnsi="David" w:cs="David"/>
          <w:sz w:val="24"/>
          <w:szCs w:val="24"/>
          <w:u w:val="none"/>
          <w:rtl/>
        </w:rPr>
        <w:t>אני לא מתערבת בחיים ביניהם.</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 xml:space="preserve">עו"ד לוזון: אוקיי. והשאלה </w:t>
      </w:r>
      <w:bookmarkStart w:id="122" w:name="_ETM_Q_1544353"/>
      <w:bookmarkEnd w:id="122"/>
      <w:r>
        <w:rPr>
          <w:rFonts w:ascii="David" w:hAnsi="David" w:cs="David"/>
          <w:sz w:val="24"/>
          <w:szCs w:val="24"/>
          <w:u w:val="none"/>
          <w:rtl/>
        </w:rPr>
        <w:t>שלי, למה לא מסרת דרך הבת שלך את הצ'ק? היא</w:t>
      </w:r>
      <w:bookmarkStart w:id="123" w:name="_ETM_Q_1547725"/>
      <w:bookmarkEnd w:id="123"/>
      <w:r>
        <w:rPr>
          <w:rFonts w:ascii="David" w:hAnsi="David" w:cs="David"/>
          <w:sz w:val="24"/>
          <w:szCs w:val="24"/>
          <w:u w:val="none"/>
          <w:rtl/>
        </w:rPr>
        <w:t xml:space="preserve"> הייתה אצלך, היא כל הזמן איתך לא?</w:t>
      </w:r>
    </w:p>
    <w:p w:rsidR="008B0FB2" w:rsidRDefault="008B0FB2" w:rsidP="008B0FB2">
      <w:pPr>
        <w:pStyle w:val="1"/>
        <w:shd w:val="clear" w:color="auto" w:fill="auto"/>
        <w:spacing w:line="360" w:lineRule="auto"/>
        <w:ind w:left="567" w:firstLine="0"/>
        <w:jc w:val="both"/>
        <w:rPr>
          <w:rFonts w:ascii="David" w:hAnsi="David" w:cs="David"/>
          <w:sz w:val="24"/>
          <w:szCs w:val="24"/>
          <w:rtl/>
        </w:rPr>
      </w:pPr>
      <w:r>
        <w:rPr>
          <w:rFonts w:ascii="David" w:hAnsi="David" w:cs="David"/>
          <w:sz w:val="24"/>
          <w:szCs w:val="24"/>
          <w:rtl/>
        </w:rPr>
        <w:t xml:space="preserve">העד, גב' ***: למה אני, סליחה, הוא </w:t>
      </w:r>
      <w:bookmarkStart w:id="124" w:name="_ETM_Q_1552177"/>
      <w:bookmarkEnd w:id="124"/>
      <w:r>
        <w:rPr>
          <w:rFonts w:ascii="David" w:hAnsi="David" w:cs="David"/>
          <w:sz w:val="24"/>
          <w:szCs w:val="24"/>
          <w:rtl/>
        </w:rPr>
        <w:t xml:space="preserve">קיבל, הוא ביקש את הכסף, היה לו דחוף. נסע אליי </w:t>
      </w:r>
      <w:bookmarkStart w:id="125" w:name="_ETM_Q_1556620"/>
      <w:bookmarkEnd w:id="125"/>
      <w:r>
        <w:rPr>
          <w:rFonts w:ascii="David" w:hAnsi="David" w:cs="David"/>
          <w:sz w:val="24"/>
          <w:szCs w:val="24"/>
          <w:rtl/>
        </w:rPr>
        <w:t>עם האוטו,</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עו"ד לוזון: לא הייתה לו חניה (מדברים ביחד),</w:t>
      </w:r>
    </w:p>
    <w:p w:rsidR="008B0FB2" w:rsidRDefault="008B0FB2" w:rsidP="008B0FB2">
      <w:pPr>
        <w:pStyle w:val="1"/>
        <w:shd w:val="clear" w:color="auto" w:fill="auto"/>
        <w:spacing w:line="360" w:lineRule="auto"/>
        <w:ind w:left="567" w:firstLine="0"/>
        <w:jc w:val="both"/>
        <w:rPr>
          <w:rFonts w:ascii="David" w:hAnsi="David" w:cs="David"/>
          <w:sz w:val="24"/>
          <w:szCs w:val="24"/>
          <w:rtl/>
        </w:rPr>
      </w:pPr>
      <w:r>
        <w:rPr>
          <w:rFonts w:ascii="David" w:hAnsi="David" w:cs="David"/>
          <w:sz w:val="24"/>
          <w:szCs w:val="24"/>
          <w:rtl/>
        </w:rPr>
        <w:t>העד, גב' ***: צלצל אליי. למה שאני אתן דרך הבת שלי?</w:t>
      </w:r>
    </w:p>
    <w:p w:rsidR="008B0FB2" w:rsidRDefault="008B0FB2" w:rsidP="008B0FB2">
      <w:pPr>
        <w:pStyle w:val="1"/>
        <w:shd w:val="clear" w:color="auto" w:fill="auto"/>
        <w:spacing w:line="360" w:lineRule="auto"/>
        <w:ind w:left="567" w:firstLine="0"/>
        <w:jc w:val="both"/>
        <w:rPr>
          <w:rFonts w:ascii="David" w:hAnsi="David" w:cs="David"/>
          <w:sz w:val="24"/>
          <w:szCs w:val="24"/>
          <w:rtl/>
        </w:rPr>
      </w:pPr>
      <w:r>
        <w:rPr>
          <w:rFonts w:ascii="David" w:hAnsi="David" w:cs="David"/>
          <w:sz w:val="24"/>
          <w:szCs w:val="24"/>
          <w:rtl/>
        </w:rPr>
        <w:t>עו"ד לוזון: הבנתי.</w:t>
      </w:r>
    </w:p>
    <w:p w:rsidR="008B0FB2" w:rsidRDefault="008B0FB2" w:rsidP="008B0FB2">
      <w:pPr>
        <w:pStyle w:val="1"/>
        <w:shd w:val="clear" w:color="auto" w:fill="auto"/>
        <w:spacing w:line="360" w:lineRule="auto"/>
        <w:ind w:left="567" w:firstLine="0"/>
        <w:jc w:val="both"/>
        <w:rPr>
          <w:rFonts w:ascii="David" w:hAnsi="David" w:cs="David"/>
          <w:sz w:val="24"/>
          <w:szCs w:val="24"/>
          <w:rtl/>
        </w:rPr>
      </w:pPr>
      <w:r>
        <w:rPr>
          <w:rFonts w:ascii="David" w:hAnsi="David" w:cs="David"/>
          <w:sz w:val="24"/>
          <w:szCs w:val="24"/>
          <w:rtl/>
        </w:rPr>
        <w:t xml:space="preserve">העד, גב' ***: זה הוא ביקש, זה לא קשור לבת שלי </w:t>
      </w:r>
      <w:bookmarkStart w:id="126" w:name="_ETM_Q_1559565"/>
      <w:bookmarkEnd w:id="126"/>
      <w:r>
        <w:rPr>
          <w:rFonts w:ascii="David" w:hAnsi="David" w:cs="David"/>
          <w:sz w:val="24"/>
          <w:szCs w:val="24"/>
          <w:rtl/>
        </w:rPr>
        <w:t>בכלל.</w:t>
      </w:r>
    </w:p>
    <w:p w:rsidR="008B0FB2" w:rsidRDefault="008B0FB2" w:rsidP="008B0FB2">
      <w:pPr>
        <w:pStyle w:val="1"/>
        <w:shd w:val="clear" w:color="auto" w:fill="auto"/>
        <w:spacing w:line="360" w:lineRule="auto"/>
        <w:ind w:left="567" w:firstLine="0"/>
        <w:jc w:val="both"/>
        <w:rPr>
          <w:rFonts w:ascii="David" w:hAnsi="David" w:cs="David"/>
          <w:sz w:val="24"/>
          <w:szCs w:val="24"/>
          <w:rtl/>
        </w:rPr>
      </w:pPr>
      <w:r>
        <w:rPr>
          <w:rFonts w:ascii="David" w:hAnsi="David" w:cs="David"/>
          <w:sz w:val="24"/>
          <w:szCs w:val="24"/>
          <w:rtl/>
        </w:rPr>
        <w:t>עו"ד לוזון: טוב.</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rtl/>
        </w:rPr>
        <w:t>העד, גב' ***: זה ביני לבינו</w:t>
      </w:r>
      <w:r>
        <w:rPr>
          <w:rFonts w:ascii="David" w:hAnsi="David" w:cs="David"/>
          <w:sz w:val="24"/>
          <w:szCs w:val="24"/>
          <w:u w:val="none"/>
          <w:rtl/>
        </w:rPr>
        <w:t>.</w:t>
      </w:r>
      <w:r>
        <w:rPr>
          <w:rFonts w:ascii="David" w:hAnsi="David" w:cs="David"/>
          <w:b w:val="0"/>
          <w:bCs w:val="0"/>
          <w:sz w:val="24"/>
          <w:szCs w:val="24"/>
          <w:u w:val="none"/>
          <w:rtl/>
        </w:rPr>
        <w:t>" (ההדגשות בקו – הוספו).</w:t>
      </w:r>
    </w:p>
    <w:p w:rsidR="008B0FB2" w:rsidRDefault="008B0FB2" w:rsidP="008B0FB2">
      <w:pPr>
        <w:pStyle w:val="1"/>
        <w:shd w:val="clear" w:color="auto" w:fill="auto"/>
        <w:spacing w:line="360" w:lineRule="auto"/>
        <w:ind w:left="567" w:firstLine="0"/>
        <w:jc w:val="both"/>
        <w:rPr>
          <w:rFonts w:ascii="David" w:hAnsi="David" w:cs="David"/>
          <w:b w:val="0"/>
          <w:bCs w:val="0"/>
          <w:sz w:val="24"/>
          <w:szCs w:val="24"/>
          <w:u w:val="none"/>
          <w:rtl/>
        </w:rPr>
      </w:pPr>
      <w:r>
        <w:rPr>
          <w:rFonts w:ascii="David" w:hAnsi="David" w:cs="David"/>
          <w:b w:val="0"/>
          <w:bCs w:val="0"/>
          <w:sz w:val="24"/>
          <w:szCs w:val="24"/>
          <w:u w:val="none"/>
          <w:rtl/>
        </w:rPr>
        <w:t>(ראו: פרוט' מיום 16.2.2023, עמ' 14, שורות 35-30; עמ' 15, שורות 7-1; עמ' 21, שורות 33-24).</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p>
    <w:p w:rsidR="008B0FB2" w:rsidRDefault="008B0FB2" w:rsidP="008B0FB2">
      <w:pPr>
        <w:pStyle w:val="aa"/>
        <w:numPr>
          <w:ilvl w:val="3"/>
          <w:numId w:val="1"/>
        </w:numPr>
        <w:spacing w:line="360" w:lineRule="auto"/>
        <w:jc w:val="both"/>
        <w:rPr>
          <w:rFonts w:ascii="David" w:hAnsi="David"/>
          <w:rtl/>
        </w:rPr>
      </w:pPr>
      <w:r>
        <w:rPr>
          <w:rFonts w:ascii="David" w:hAnsi="David"/>
          <w:rtl/>
        </w:rPr>
        <w:t xml:space="preserve">עדותה בעניין זה הייתה מפורטת ומהימנה. בהשוואה בין עדויות התובעת לנתבע וגרסאותיהם, בצירוף הראיות שצורפו, שוכנעתי כי יש להעדיף את גרסת התובעת. </w:t>
      </w:r>
    </w:p>
    <w:p w:rsidR="008B0FB2" w:rsidRDefault="008B0FB2" w:rsidP="008B0FB2">
      <w:pPr>
        <w:pStyle w:val="aa"/>
        <w:spacing w:line="360" w:lineRule="auto"/>
        <w:ind w:left="567"/>
        <w:jc w:val="both"/>
        <w:rPr>
          <w:rFonts w:ascii="David" w:hAnsi="David"/>
        </w:rPr>
      </w:pPr>
    </w:p>
    <w:p w:rsidR="008B0FB2" w:rsidRDefault="008B0FB2" w:rsidP="008B0FB2">
      <w:pPr>
        <w:pStyle w:val="aa"/>
        <w:numPr>
          <w:ilvl w:val="3"/>
          <w:numId w:val="1"/>
        </w:numPr>
        <w:spacing w:line="360" w:lineRule="auto"/>
        <w:jc w:val="both"/>
        <w:rPr>
          <w:rFonts w:ascii="David" w:hAnsi="David"/>
          <w:b/>
          <w:bCs/>
        </w:rPr>
      </w:pPr>
      <w:r>
        <w:rPr>
          <w:rtl/>
        </w:rPr>
        <w:t xml:space="preserve">בהקשר זה אף ראוי לציין כי התובעת הסבירה בחקירתה שהיה לה אמון מלא בנתבע, כבן זוגה של בתה וכאבי נכדיה, ולכן הסכימה לתת לו את הכסף ללא חשש. האם </w:t>
      </w:r>
      <w:r>
        <w:rPr>
          <w:rFonts w:ascii="David" w:hAnsi="David"/>
          <w:rtl/>
        </w:rPr>
        <w:t xml:space="preserve">התמודדה היטב עם שאלות ב"כ הנתבע וענתה בצורה עניינית ומלאה. </w:t>
      </w:r>
      <w:r>
        <w:rPr>
          <w:rtl/>
        </w:rPr>
        <w:t>היא אף הבהירה כי הכל נעשה על ידי הנתבע באופן ישיר מולה, ולא דרך הבת, לנוכח הקשר הטוב שהיה בינה לבין הנתבע. כך, בחקירתה:</w:t>
      </w:r>
    </w:p>
    <w:p w:rsidR="008B0FB2" w:rsidRDefault="008B0FB2" w:rsidP="008B0FB2">
      <w:pPr>
        <w:pStyle w:val="1"/>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"העד, גב' ***: בוא אני אגיד לך משהו, </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עו"ד לוזון: כן?</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העד, גב' ***: לא כל כ</w:t>
      </w:r>
      <w:bookmarkStart w:id="127" w:name="_ETM_Q_696789"/>
      <w:bookmarkEnd w:id="127"/>
      <w:r>
        <w:rPr>
          <w:rFonts w:ascii="David" w:hAnsi="David" w:cs="David"/>
          <w:sz w:val="24"/>
          <w:szCs w:val="24"/>
          <w:u w:val="none"/>
          <w:rtl/>
        </w:rPr>
        <w:t xml:space="preserve">ך מעניין אותי הסיבה שלו. בן אדם שהוא חתני, האבא של </w:t>
      </w:r>
      <w:bookmarkStart w:id="128" w:name="_ETM_Q_701163"/>
      <w:bookmarkEnd w:id="128"/>
      <w:r>
        <w:rPr>
          <w:rFonts w:ascii="David" w:hAnsi="David" w:cs="David"/>
          <w:sz w:val="24"/>
          <w:szCs w:val="24"/>
          <w:u w:val="none"/>
          <w:rtl/>
        </w:rPr>
        <w:t xml:space="preserve">הילדים, שהייתי בלידה שלהם, מבקש ממני כסף, 200 אלף שקל </w:t>
      </w:r>
      <w:bookmarkStart w:id="129" w:name="_ETM_Q_707874"/>
      <w:bookmarkEnd w:id="129"/>
      <w:r>
        <w:rPr>
          <w:rFonts w:ascii="David" w:hAnsi="David" w:cs="David"/>
          <w:sz w:val="24"/>
          <w:szCs w:val="24"/>
          <w:u w:val="none"/>
          <w:rtl/>
        </w:rPr>
        <w:t xml:space="preserve">לתקופה של שלושה חודשים, אין שום סיבה בעולם שאני לא </w:t>
      </w:r>
      <w:bookmarkStart w:id="130" w:name="_ETM_Q_711693"/>
      <w:bookmarkEnd w:id="130"/>
      <w:r>
        <w:rPr>
          <w:rFonts w:ascii="David" w:hAnsi="David" w:cs="David"/>
          <w:sz w:val="24"/>
          <w:szCs w:val="24"/>
          <w:u w:val="none"/>
          <w:rtl/>
        </w:rPr>
        <w:t xml:space="preserve">אקח, שאני אתחיל לתחקר אותו. זה גם היה לפני המון </w:t>
      </w:r>
      <w:bookmarkStart w:id="131" w:name="_ETM_Q_715875"/>
      <w:bookmarkEnd w:id="131"/>
      <w:r>
        <w:rPr>
          <w:rFonts w:ascii="David" w:hAnsi="David" w:cs="David"/>
          <w:sz w:val="24"/>
          <w:szCs w:val="24"/>
          <w:u w:val="none"/>
          <w:rtl/>
        </w:rPr>
        <w:t xml:space="preserve">שנים. בדיוק אני לא עורכת דין, אני לא שופטת, אני </w:t>
      </w:r>
      <w:bookmarkStart w:id="132" w:name="_ETM_Q_719095"/>
      <w:bookmarkEnd w:id="132"/>
      <w:r>
        <w:rPr>
          <w:rFonts w:ascii="David" w:hAnsi="David" w:cs="David"/>
          <w:sz w:val="24"/>
          <w:szCs w:val="24"/>
          <w:u w:val="none"/>
          <w:rtl/>
        </w:rPr>
        <w:t>לא משטרה, אני לא כלום. הוא החתן שלי, ביקש,</w:t>
      </w:r>
      <w:bookmarkStart w:id="133" w:name="_ETM_Q_722727"/>
      <w:bookmarkEnd w:id="133"/>
      <w:r>
        <w:rPr>
          <w:rFonts w:ascii="David" w:hAnsi="David" w:cs="David"/>
          <w:sz w:val="24"/>
          <w:szCs w:val="24"/>
          <w:u w:val="none"/>
          <w:rtl/>
        </w:rPr>
        <w:t xml:space="preserve"> קיבל. </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lastRenderedPageBreak/>
        <w:t>עו"ד לוזון: ולמה לא אמרת לבת שלך? למה לא אמרת לו</w:t>
      </w:r>
      <w:bookmarkStart w:id="134" w:name="_ETM_Q_726195"/>
      <w:bookmarkEnd w:id="134"/>
      <w:r>
        <w:rPr>
          <w:rFonts w:ascii="David" w:hAnsi="David" w:cs="David"/>
          <w:sz w:val="24"/>
          <w:szCs w:val="24"/>
          <w:u w:val="none"/>
          <w:rtl/>
        </w:rPr>
        <w:t xml:space="preserve"> "תפנה לבת שלי שתיתן לך כסף. אתם ביחד, אתם זוג, לא עדיף שתיקח מהבת שלי כסף? למה </w:t>
      </w:r>
      <w:bookmarkStart w:id="135" w:name="_ETM_Q_731028"/>
      <w:bookmarkEnd w:id="135"/>
      <w:r>
        <w:rPr>
          <w:rFonts w:ascii="David" w:hAnsi="David" w:cs="David"/>
          <w:sz w:val="24"/>
          <w:szCs w:val="24"/>
          <w:u w:val="none"/>
          <w:rtl/>
        </w:rPr>
        <w:t>ממני?"?</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העד, גב' ***: למה לא?</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עו"ד לוזון: אוקיי, למה לא.</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העד, גב' ***: למה לא?</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עו"ד לוזון: בסדר. אוקיי. (מדברים ביחד),</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העד, גב' ***: זכותי לעשות עם כספי</w:t>
      </w:r>
      <w:bookmarkStart w:id="136" w:name="_ETM_Q_736916"/>
      <w:bookmarkEnd w:id="136"/>
      <w:r>
        <w:rPr>
          <w:rFonts w:ascii="David" w:hAnsi="David" w:cs="David"/>
          <w:sz w:val="24"/>
          <w:szCs w:val="24"/>
          <w:u w:val="none"/>
          <w:rtl/>
        </w:rPr>
        <w:t xml:space="preserve"> מה שאני רוצה,</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עו"ד לוזון: נכון, צודקת.</w:t>
      </w:r>
    </w:p>
    <w:p w:rsidR="008B0FB2" w:rsidRDefault="008B0FB2" w:rsidP="008B0FB2">
      <w:pPr>
        <w:pStyle w:val="1"/>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העד, גב' ***: יש לי, היה לי אמון מלא מלא</w:t>
      </w:r>
      <w:bookmarkStart w:id="137" w:name="_ETM_Q_742136"/>
      <w:bookmarkEnd w:id="137"/>
      <w:r>
        <w:rPr>
          <w:rFonts w:ascii="David" w:hAnsi="David" w:cs="David"/>
          <w:sz w:val="24"/>
          <w:szCs w:val="24"/>
          <w:u w:val="none"/>
          <w:rtl/>
        </w:rPr>
        <w:t xml:space="preserve"> מלא בנתבע,"</w:t>
      </w:r>
    </w:p>
    <w:p w:rsidR="008B0FB2" w:rsidRDefault="008B0FB2" w:rsidP="008B0FB2">
      <w:pPr>
        <w:pStyle w:val="1"/>
        <w:shd w:val="clear" w:color="auto" w:fill="auto"/>
        <w:spacing w:line="360" w:lineRule="auto"/>
        <w:ind w:left="567" w:firstLine="0"/>
        <w:jc w:val="both"/>
        <w:rPr>
          <w:rFonts w:ascii="David" w:hAnsi="David" w:cs="David"/>
          <w:b w:val="0"/>
          <w:bCs w:val="0"/>
          <w:sz w:val="24"/>
          <w:szCs w:val="24"/>
          <w:u w:val="none"/>
          <w:rtl/>
        </w:rPr>
      </w:pPr>
      <w:r>
        <w:rPr>
          <w:rFonts w:ascii="David" w:hAnsi="David" w:cs="David"/>
          <w:b w:val="0"/>
          <w:bCs w:val="0"/>
          <w:sz w:val="24"/>
          <w:szCs w:val="24"/>
          <w:u w:val="none"/>
          <w:rtl/>
        </w:rPr>
        <w:t>(ראו: פרוט' מיום 16.2.2023, עמ' 12, שורות 33-16).</w:t>
      </w:r>
    </w:p>
    <w:p w:rsidR="008B0FB2" w:rsidRDefault="008B0FB2" w:rsidP="008B0FB2">
      <w:pPr>
        <w:pStyle w:val="1"/>
        <w:shd w:val="clear" w:color="auto" w:fill="auto"/>
        <w:spacing w:line="360" w:lineRule="auto"/>
        <w:ind w:left="567" w:firstLine="0"/>
        <w:jc w:val="both"/>
        <w:rPr>
          <w:b w:val="0"/>
          <w:bCs w:val="0"/>
          <w:sz w:val="24"/>
          <w:szCs w:val="24"/>
          <w:highlight w:val="yellow"/>
          <w:u w:val="none"/>
          <w:rtl/>
          <w:lang w:bidi="ar-SA"/>
        </w:rPr>
      </w:pPr>
    </w:p>
    <w:p w:rsidR="008B0FB2" w:rsidRDefault="008B0FB2" w:rsidP="008B0FB2">
      <w:pPr>
        <w:pStyle w:val="aa"/>
        <w:numPr>
          <w:ilvl w:val="3"/>
          <w:numId w:val="1"/>
        </w:numPr>
        <w:spacing w:line="360" w:lineRule="auto"/>
        <w:jc w:val="both"/>
        <w:rPr>
          <w:rFonts w:ascii="David" w:hAnsi="David"/>
          <w:rtl/>
        </w:rPr>
      </w:pPr>
      <w:r>
        <w:rPr>
          <w:rtl/>
        </w:rPr>
        <w:t>אני מקבלת את גרסתה זו של התובעת. התובעת אף הוכיחה כי היא משכה כספים שהושקעו על ידה, וזאת במיוחד כדי לתת לנתבע את הסך שביקש ממנה (צורף וסומן כנספח 1 לתצהיר האם). אם כן, התובעת הוכיחה כי הובן והוסכם על ידה ועל ידי הנתבע כי המדובר בהעברה שבוצעה כהלוואה לנתבע, והנתבע לא הצליח לסתור טענה זו. הסבריו של הנתבע היו מתחמקים, ולפיכך גרסתו נדחית.</w:t>
      </w:r>
    </w:p>
    <w:p w:rsidR="008B0FB2" w:rsidRDefault="008B0FB2" w:rsidP="008B0FB2">
      <w:pPr>
        <w:pStyle w:val="aa"/>
        <w:spacing w:line="360" w:lineRule="auto"/>
        <w:ind w:left="567"/>
        <w:jc w:val="both"/>
        <w:rPr>
          <w:rFonts w:ascii="David" w:hAnsi="David"/>
        </w:rPr>
      </w:pPr>
    </w:p>
    <w:p w:rsidR="008B0FB2" w:rsidRDefault="008B0FB2" w:rsidP="008B0FB2">
      <w:pPr>
        <w:pStyle w:val="aa"/>
        <w:numPr>
          <w:ilvl w:val="3"/>
          <w:numId w:val="1"/>
        </w:numPr>
        <w:spacing w:line="360" w:lineRule="auto"/>
        <w:jc w:val="both"/>
        <w:rPr>
          <w:b/>
          <w:bCs/>
        </w:rPr>
      </w:pPr>
      <w:r>
        <w:rPr>
          <w:b/>
          <w:bCs/>
          <w:rtl/>
        </w:rPr>
        <w:t xml:space="preserve">אשר על כן שוכנעתי כי התובעת הלוותה לנתבע סך של 200,000 ₪. מתוך סכום זה השיב הנתבע לתובעת 75,000 ש"ח. </w:t>
      </w:r>
    </w:p>
    <w:p w:rsidR="008B0FB2" w:rsidRDefault="008B0FB2" w:rsidP="008B0FB2">
      <w:pPr>
        <w:pStyle w:val="aa"/>
        <w:rPr>
          <w:rFonts w:ascii="David" w:hAnsi="David"/>
          <w:b/>
          <w:bCs/>
        </w:rPr>
      </w:pPr>
    </w:p>
    <w:p w:rsidR="008B0FB2" w:rsidRDefault="008B0FB2" w:rsidP="008B0FB2">
      <w:pPr>
        <w:pStyle w:val="aa"/>
        <w:numPr>
          <w:ilvl w:val="3"/>
          <w:numId w:val="1"/>
        </w:numPr>
        <w:spacing w:line="360" w:lineRule="auto"/>
        <w:jc w:val="both"/>
        <w:rPr>
          <w:rtl/>
        </w:rPr>
      </w:pPr>
      <w:r>
        <w:rPr>
          <w:rFonts w:ascii="David" w:hAnsi="David"/>
          <w:b/>
          <w:bCs/>
          <w:rtl/>
        </w:rPr>
        <w:t>אשר על כן אני קובעת כי האם הוכיחה כי הנתבע נותר חייב לה את הסך של 125,000 ₪ המהווה את היתרה מתוך ההעברה שבוצעה על ידי האם, בקיזוז העברותיו הראשונה והשנייה של הנתבע לאם.</w:t>
      </w:r>
    </w:p>
    <w:p w:rsidR="008B0FB2" w:rsidRDefault="008B0FB2" w:rsidP="008B0FB2">
      <w:pPr>
        <w:pStyle w:val="aa"/>
        <w:spacing w:line="360" w:lineRule="auto"/>
        <w:ind w:left="567"/>
        <w:jc w:val="both"/>
      </w:pPr>
    </w:p>
    <w:p w:rsidR="008B0FB2" w:rsidRDefault="008B0FB2" w:rsidP="008B0FB2">
      <w:pPr>
        <w:pStyle w:val="aa"/>
        <w:numPr>
          <w:ilvl w:val="3"/>
          <w:numId w:val="1"/>
        </w:numPr>
        <w:spacing w:line="360" w:lineRule="auto"/>
        <w:jc w:val="both"/>
      </w:pPr>
      <w:r>
        <w:rPr>
          <w:b/>
          <w:bCs/>
          <w:u w:val="single"/>
          <w:rtl/>
        </w:rPr>
        <w:t>בכל הנוגע פסיקת ריבית והצמדה –</w:t>
      </w:r>
      <w:r>
        <w:rPr>
          <w:rtl/>
        </w:rPr>
        <w:t xml:space="preserve"> </w:t>
      </w:r>
      <w:r>
        <w:rPr>
          <w:rFonts w:ascii="Arial" w:hAnsi="Arial"/>
          <w:b/>
          <w:bCs/>
          <w:noProof w:val="0"/>
          <w:rtl/>
        </w:rPr>
        <w:t xml:space="preserve">בכתב התביעה </w:t>
      </w:r>
      <w:r>
        <w:rPr>
          <w:rFonts w:ascii="Arial" w:hAnsi="Arial"/>
          <w:noProof w:val="0"/>
          <w:rtl/>
        </w:rPr>
        <w:t xml:space="preserve">עתרה </w:t>
      </w:r>
      <w:r>
        <w:rPr>
          <w:rFonts w:ascii="Arial" w:hAnsi="Arial"/>
          <w:b/>
          <w:bCs/>
          <w:noProof w:val="0"/>
          <w:rtl/>
        </w:rPr>
        <w:t>התובעת</w:t>
      </w:r>
      <w:r>
        <w:rPr>
          <w:rFonts w:ascii="Arial" w:hAnsi="Arial"/>
          <w:noProof w:val="0"/>
          <w:rtl/>
        </w:rPr>
        <w:t xml:space="preserve"> לחייב את הנתבע בריבית בסכום כולל של 240,522 ₪ בגין ריבית לאורך תקופה של 8 שנים (על סכום של 125,000 ₪ קרן שנותר לתשלום). </w:t>
      </w:r>
      <w:r>
        <w:rPr>
          <w:rFonts w:ascii="Arial" w:hAnsi="Arial"/>
          <w:b/>
          <w:bCs/>
          <w:noProof w:val="0"/>
          <w:rtl/>
        </w:rPr>
        <w:t>בסיכומים</w:t>
      </w:r>
      <w:r>
        <w:rPr>
          <w:rtl/>
        </w:rPr>
        <w:t xml:space="preserve"> ציינה </w:t>
      </w:r>
      <w:r>
        <w:rPr>
          <w:b/>
          <w:bCs/>
          <w:rtl/>
        </w:rPr>
        <w:t>התובעת</w:t>
      </w:r>
      <w:r>
        <w:rPr>
          <w:rtl/>
        </w:rPr>
        <w:t xml:space="preserve"> כי הצדדים לא סיכמו מה יהיה שיעור הריבית אלא רק כי תשולם ריבית. עניין זה לא הוכח על ידה. לטענת התובעת יש לפסוק לה ריבית חלופית לו הייתה משקיעה את הכספים שנתנה בהלוואה לנתבע בבנק או לפי ריבית שהיא שילמה באותה העת לבנק. לטענת התובעת יש לפסוק ריבית על יתרת הסכום החל מחודש 6/2018. בהמשך סיכומיה עתרה כי הריבית שתפסק תהיה בשיעור של 16.26% שנתית או לחילופין ריבית פיגורים עד למועד התשלום בפועל. הנתבע לא התייחס לגופן של הטענות לגבי שיעור הריבית.</w:t>
      </w:r>
    </w:p>
    <w:p w:rsidR="008B0FB2" w:rsidRDefault="008B0FB2" w:rsidP="008B0FB2">
      <w:pPr>
        <w:pStyle w:val="aa"/>
      </w:pPr>
    </w:p>
    <w:p w:rsidR="008B0FB2" w:rsidRDefault="008B0FB2" w:rsidP="008B0FB2">
      <w:pPr>
        <w:pStyle w:val="aa"/>
        <w:spacing w:line="360" w:lineRule="auto"/>
        <w:ind w:left="567"/>
        <w:jc w:val="both"/>
        <w:rPr>
          <w:rtl/>
        </w:rPr>
      </w:pPr>
      <w:r>
        <w:rPr>
          <w:b/>
          <w:bCs/>
          <w:rtl/>
        </w:rPr>
        <w:t>הנתבע</w:t>
      </w:r>
      <w:r>
        <w:rPr>
          <w:rtl/>
        </w:rPr>
        <w:t xml:space="preserve"> טוען כי התובעת לא הצליחה להוכיח כי הובטח לה תשלום הריבית, ובפרט לא ריבית בשיעור כל-כך גבוה לו היא עתרה.</w:t>
      </w:r>
    </w:p>
    <w:p w:rsidR="008B0FB2" w:rsidRDefault="008B0FB2" w:rsidP="008B0FB2">
      <w:pPr>
        <w:pStyle w:val="aa"/>
      </w:pPr>
    </w:p>
    <w:p w:rsidR="008B0FB2" w:rsidRDefault="008B0FB2" w:rsidP="008B0FB2">
      <w:pPr>
        <w:pStyle w:val="aa"/>
        <w:numPr>
          <w:ilvl w:val="3"/>
          <w:numId w:val="1"/>
        </w:numPr>
        <w:spacing w:line="360" w:lineRule="auto"/>
        <w:jc w:val="both"/>
        <w:rPr>
          <w:rtl/>
        </w:rPr>
      </w:pPr>
      <w:r>
        <w:rPr>
          <w:rtl/>
        </w:rPr>
        <w:t xml:space="preserve">לאחר בחינת הראיות והעדויות בתיק שוכנעתי כי לא סוכם על תשלום ריבית והצמדה בין הצדדים. יתרה מכך, עת השיב הנתבע את הסכום של 75,000 ₪ בחודש 6/2018, התובעת ייחסה זאת לקרן ולא העלתה כל טענה על תוספת ריבית והצמדה בזמן אמת מול הנתבע. במכתב ההתראה ששלח ב"כ של התובעת בחודש 2/2021 צויין כי על הנתבע להשיב את הסך שנותר בתוספת ריבית והצמדה מיום מתן הלוואה ועד לתשלום בפועל.  על כן גם התובעת עצמה לא הייתה עקבית בעמדתה לגבי הריבית ובדרישתה לגביה. </w:t>
      </w:r>
    </w:p>
    <w:p w:rsidR="008B0FB2" w:rsidRDefault="008B0FB2" w:rsidP="008B0FB2">
      <w:pPr>
        <w:pStyle w:val="aa"/>
        <w:spacing w:line="360" w:lineRule="auto"/>
        <w:ind w:left="567"/>
        <w:jc w:val="both"/>
      </w:pPr>
    </w:p>
    <w:p w:rsidR="008B0FB2" w:rsidRDefault="008B0FB2" w:rsidP="008B0FB2">
      <w:pPr>
        <w:pStyle w:val="aa"/>
        <w:numPr>
          <w:ilvl w:val="3"/>
          <w:numId w:val="1"/>
        </w:numPr>
        <w:spacing w:line="360" w:lineRule="auto"/>
        <w:jc w:val="both"/>
      </w:pPr>
      <w:r>
        <w:rPr>
          <w:rtl/>
        </w:rPr>
        <w:t xml:space="preserve">לא שוכנעתי כי יש מקום להורות על חיובי הריבית בשיעור שהתבקש ומהמועד שהתבקש. הרושם הוא כאשר בוחנים את הסכומים כי חיובי ריבית שהם פי 2 מסכומי הקרן הם דרישה חסרת תום לב שאינה עומדת בהסכמות בין הצדדים. </w:t>
      </w:r>
    </w:p>
    <w:p w:rsidR="008B0FB2" w:rsidRDefault="008B0FB2" w:rsidP="008B0FB2">
      <w:pPr>
        <w:pStyle w:val="aa"/>
      </w:pPr>
    </w:p>
    <w:p w:rsidR="008B0FB2" w:rsidRDefault="008B0FB2" w:rsidP="008B0FB2">
      <w:pPr>
        <w:pStyle w:val="aa"/>
        <w:numPr>
          <w:ilvl w:val="3"/>
          <w:numId w:val="1"/>
        </w:numPr>
        <w:spacing w:line="360" w:lineRule="auto"/>
        <w:jc w:val="both"/>
        <w:rPr>
          <w:rtl/>
        </w:rPr>
      </w:pPr>
      <w:r>
        <w:rPr>
          <w:rtl/>
        </w:rPr>
        <w:t xml:space="preserve">עתירה לגובה ריבית זה, גם עומדת בניגוד להתרשמות מחקירת התובעת שבה היא ציינה שוב ושוב את הקשר המשפחתי ויחסה החם לנתבע, שהוא אבי נכדיה, וכי סמכה עליו. על כן אין מקום להעתר לדרישה זו, גם אם הנתבע לא התמודד עימה כדבעי. </w:t>
      </w:r>
    </w:p>
    <w:p w:rsidR="008B0FB2" w:rsidRDefault="008B0FB2" w:rsidP="008B0FB2">
      <w:pPr>
        <w:pStyle w:val="aa"/>
      </w:pPr>
    </w:p>
    <w:p w:rsidR="008B0FB2" w:rsidRDefault="008B0FB2" w:rsidP="008B0FB2">
      <w:pPr>
        <w:pStyle w:val="aa"/>
        <w:numPr>
          <w:ilvl w:val="3"/>
          <w:numId w:val="1"/>
        </w:numPr>
        <w:spacing w:line="360" w:lineRule="auto"/>
        <w:jc w:val="both"/>
        <w:rPr>
          <w:rtl/>
        </w:rPr>
      </w:pPr>
      <w:r>
        <w:rPr>
          <w:rtl/>
        </w:rPr>
        <w:t xml:space="preserve">אני סבורה כי יש מקום לחיוב בהצמדה ובריבית החל ממועד הגשת התביעה בחודש 8/2021. או אז כבר יכול היה להיות ברור לנתבע מה גדרי המחלוקת וגם אם לא התקבלה מלוא עמדת התובעת הרי שיכול היה לצפות כי הקרן לא תושב ללא ריבית והצמדה. </w:t>
      </w:r>
    </w:p>
    <w:p w:rsidR="008B0FB2" w:rsidRDefault="008B0FB2" w:rsidP="008B0FB2">
      <w:pPr>
        <w:pStyle w:val="aa"/>
        <w:rPr>
          <w:rtl/>
        </w:rPr>
      </w:pPr>
    </w:p>
    <w:p w:rsidR="008B0FB2" w:rsidRDefault="008B0FB2" w:rsidP="008B0FB2">
      <w:pPr>
        <w:pStyle w:val="aa"/>
        <w:numPr>
          <w:ilvl w:val="3"/>
          <w:numId w:val="1"/>
        </w:numPr>
        <w:spacing w:line="360" w:lineRule="auto"/>
        <w:jc w:val="both"/>
        <w:rPr>
          <w:rFonts w:ascii="Arial" w:hAnsi="Arial"/>
          <w:noProof w:val="0"/>
          <w:rtl/>
        </w:rPr>
      </w:pPr>
      <w:r>
        <w:rPr>
          <w:rFonts w:ascii="Arial" w:hAnsi="Arial"/>
          <w:noProof w:val="0"/>
          <w:rtl/>
        </w:rPr>
        <w:t>ב</w:t>
      </w:r>
      <w:r w:rsidRPr="00E36390">
        <w:rPr>
          <w:rFonts w:ascii="Arial" w:hAnsi="Arial"/>
          <w:noProof w:val="0"/>
          <w:rtl/>
        </w:rPr>
        <w:t>חוק פסיקת ריבית והצמדה</w:t>
      </w:r>
      <w:r>
        <w:rPr>
          <w:rFonts w:ascii="Arial" w:hAnsi="Arial"/>
          <w:b/>
          <w:bCs/>
          <w:noProof w:val="0"/>
          <w:rtl/>
        </w:rPr>
        <w:t xml:space="preserve"> </w:t>
      </w:r>
      <w:r>
        <w:rPr>
          <w:rFonts w:ascii="Arial" w:hAnsi="Arial"/>
          <w:noProof w:val="0"/>
          <w:rtl/>
        </w:rPr>
        <w:t>תשכ"א – 1961 נקבע בסעיף 2 כי רשות שיפוטית שהורתה על חיוב כספי, רשאית לפסוק כי תתווסף ריבית על הסכום שנפסק. סעיף 5(א) לחוק קובע, כי תקופת הריבית לפי סעיף 2 לחוק תהיה מיום הגשת התביעה או מיום אחר, החל מיום היווצרות העילה ועד למועד שבו ניתן פסק הדין או המועד שנקבע בפסק הדין לתשלומו של החוב, לפי המאוחר. מטרת החיוב בתשלום ריבית והצמדה הינה שמירת ערך הכסף המגיעה לזוכה בתביעתו:</w:t>
      </w:r>
    </w:p>
    <w:p w:rsidR="008B0FB2" w:rsidRDefault="008B0FB2" w:rsidP="008B0FB2">
      <w:pPr>
        <w:pStyle w:val="aa"/>
        <w:spacing w:line="360" w:lineRule="auto"/>
        <w:ind w:left="567"/>
        <w:jc w:val="both"/>
      </w:pPr>
      <w:r>
        <w:rPr>
          <w:rFonts w:ascii="Arial" w:hAnsi="Arial"/>
          <w:noProof w:val="0"/>
          <w:rtl/>
        </w:rPr>
        <w:t>"</w:t>
      </w:r>
      <w:r>
        <w:rPr>
          <w:rFonts w:ascii="Arial" w:hAnsi="Arial"/>
          <w:b/>
          <w:bCs/>
          <w:noProof w:val="0"/>
          <w:rtl/>
        </w:rPr>
        <w:t>מטרת חיוב החייב בתשלום ריבית והצמדה, היא שערך הכסף המגיע לזוכה יישמר. הריבית נועדה להביא את הזוכה למצב שבו הוא לא יקופח עקב ירידת ערך הכסף המגיע לו. הריבית גם מפצה את הזוכה בגין הנזק שנגרם לו, עקב העובדה שהכסף המגיע לו לא היה בידיו, ונמנע ממנו ליהנות מפירות כספו</w:t>
      </w:r>
      <w:r>
        <w:rPr>
          <w:rFonts w:ascii="Arial" w:hAnsi="Arial"/>
          <w:noProof w:val="0"/>
          <w:rtl/>
        </w:rPr>
        <w:t>.</w:t>
      </w:r>
      <w:r>
        <w:rPr>
          <w:rtl/>
        </w:rPr>
        <w:t xml:space="preserve">" </w:t>
      </w:r>
    </w:p>
    <w:p w:rsidR="008B0FB2" w:rsidRDefault="008B0FB2" w:rsidP="008B0FB2">
      <w:pPr>
        <w:pStyle w:val="aa"/>
        <w:spacing w:line="360" w:lineRule="auto"/>
        <w:ind w:left="567"/>
        <w:jc w:val="both"/>
        <w:rPr>
          <w:rtl/>
        </w:rPr>
      </w:pPr>
      <w:r>
        <w:rPr>
          <w:noProof w:val="0"/>
          <w:rtl/>
        </w:rPr>
        <w:t xml:space="preserve">ראו: רמ"ש 9131-12-18 </w:t>
      </w:r>
      <w:r>
        <w:rPr>
          <w:rFonts w:ascii="Miriam" w:hAnsi="Miriam" w:cs="Miriam"/>
          <w:noProof w:val="0"/>
          <w:rtl/>
        </w:rPr>
        <w:t>ד' נ' ד'</w:t>
      </w:r>
      <w:r>
        <w:rPr>
          <w:noProof w:val="0"/>
          <w:rtl/>
        </w:rPr>
        <w:t xml:space="preserve"> </w:t>
      </w:r>
      <w:r>
        <w:rPr>
          <w:rtl/>
        </w:rPr>
        <w:t>סעיף 10 לפסק דינו של כב' השופט שילה (25.2.2019).</w:t>
      </w:r>
    </w:p>
    <w:p w:rsidR="008B0FB2" w:rsidRDefault="008B0FB2" w:rsidP="008B0FB2">
      <w:pPr>
        <w:pStyle w:val="aa"/>
        <w:spacing w:line="360" w:lineRule="auto"/>
        <w:ind w:left="567"/>
        <w:jc w:val="both"/>
        <w:rPr>
          <w:rtl/>
        </w:rPr>
      </w:pPr>
    </w:p>
    <w:p w:rsidR="008B0FB2" w:rsidRDefault="008B0FB2" w:rsidP="008B0FB2">
      <w:pPr>
        <w:pStyle w:val="aa"/>
        <w:numPr>
          <w:ilvl w:val="3"/>
          <w:numId w:val="1"/>
        </w:numPr>
        <w:spacing w:line="360" w:lineRule="auto"/>
        <w:jc w:val="both"/>
        <w:rPr>
          <w:rtl/>
        </w:rPr>
      </w:pPr>
      <w:r>
        <w:rPr>
          <w:rtl/>
        </w:rPr>
        <w:t xml:space="preserve">אשר על כן אני קובעת כי החיוב בריבית והצמדה של הסכום שנותר לתשלום יהיה החל ממועד הגשת התביעה מיום 1.8.2021 ועד למועד התשלום בפועל. </w:t>
      </w:r>
    </w:p>
    <w:p w:rsidR="008B0FB2" w:rsidRDefault="008B0FB2" w:rsidP="008B0FB2">
      <w:pPr>
        <w:spacing w:line="360" w:lineRule="auto"/>
        <w:rPr>
          <w:noProof w:val="0"/>
          <w:rtl/>
        </w:rPr>
      </w:pPr>
    </w:p>
    <w:p w:rsidR="008B0FB2" w:rsidRDefault="008B0FB2" w:rsidP="008B0FB2">
      <w:pPr>
        <w:spacing w:line="360" w:lineRule="auto"/>
        <w:rPr>
          <w:noProof w:val="0"/>
          <w:rtl/>
        </w:rPr>
      </w:pPr>
    </w:p>
    <w:p w:rsidR="008B0FB2" w:rsidRDefault="008B0FB2" w:rsidP="008B0FB2">
      <w:pPr>
        <w:pStyle w:val="aa"/>
        <w:numPr>
          <w:ilvl w:val="0"/>
          <w:numId w:val="2"/>
        </w:numPr>
        <w:spacing w:line="360" w:lineRule="auto"/>
        <w:ind w:left="567" w:hanging="567"/>
        <w:jc w:val="both"/>
        <w:rPr>
          <w:rFonts w:ascii="David" w:hAnsi="David"/>
          <w:b/>
          <w:bCs/>
          <w:sz w:val="28"/>
          <w:szCs w:val="28"/>
          <w:u w:val="single"/>
        </w:rPr>
      </w:pPr>
      <w:r>
        <w:rPr>
          <w:rFonts w:ascii="David" w:hAnsi="David"/>
          <w:b/>
          <w:bCs/>
          <w:sz w:val="28"/>
          <w:szCs w:val="28"/>
          <w:u w:val="single"/>
          <w:rtl/>
        </w:rPr>
        <w:lastRenderedPageBreak/>
        <w:t>סיכום</w:t>
      </w:r>
    </w:p>
    <w:p w:rsidR="008B0FB2" w:rsidRDefault="008B0FB2" w:rsidP="008B0FB2">
      <w:pPr>
        <w:pStyle w:val="aa"/>
        <w:spacing w:line="360" w:lineRule="auto"/>
        <w:ind w:left="567"/>
        <w:jc w:val="both"/>
        <w:rPr>
          <w:rFonts w:ascii="David" w:hAnsi="David"/>
          <w:b/>
          <w:bCs/>
          <w:sz w:val="28"/>
          <w:szCs w:val="28"/>
          <w:u w:val="single"/>
        </w:rPr>
      </w:pPr>
    </w:p>
    <w:p w:rsidR="008B0FB2" w:rsidRDefault="008B0FB2" w:rsidP="008B0FB2">
      <w:pPr>
        <w:pStyle w:val="aa"/>
        <w:numPr>
          <w:ilvl w:val="3"/>
          <w:numId w:val="1"/>
        </w:numPr>
        <w:spacing w:line="360" w:lineRule="auto"/>
        <w:jc w:val="both"/>
        <w:rPr>
          <w:rFonts w:ascii="David" w:hAnsi="David"/>
          <w:rtl/>
        </w:rPr>
      </w:pPr>
      <w:r>
        <w:rPr>
          <w:rFonts w:ascii="David" w:hAnsi="David"/>
          <w:b/>
          <w:bCs/>
          <w:rtl/>
        </w:rPr>
        <w:t xml:space="preserve">אשר על כן ולאור כל האמור לעיל, אני קובעת כי על הנתבע להשיב לתובעת סך של 125,000 ₪ בתוספת הפרשי ריבית והצמדה מיום 1.8.2021 ועד למועד התשלום בפועל. </w:t>
      </w:r>
    </w:p>
    <w:p w:rsidR="008B0FB2" w:rsidRDefault="008B0FB2" w:rsidP="008B0FB2">
      <w:pPr>
        <w:pStyle w:val="aa"/>
        <w:spacing w:line="360" w:lineRule="auto"/>
        <w:ind w:left="567"/>
        <w:jc w:val="both"/>
        <w:rPr>
          <w:rFonts w:ascii="David" w:hAnsi="David"/>
        </w:rPr>
      </w:pPr>
    </w:p>
    <w:p w:rsidR="008B0FB2" w:rsidRDefault="008B0FB2" w:rsidP="008B0FB2">
      <w:pPr>
        <w:pStyle w:val="aa"/>
        <w:numPr>
          <w:ilvl w:val="3"/>
          <w:numId w:val="1"/>
        </w:numPr>
        <w:spacing w:line="360" w:lineRule="auto"/>
        <w:jc w:val="both"/>
        <w:rPr>
          <w:rFonts w:ascii="David" w:hAnsi="David"/>
        </w:rPr>
      </w:pPr>
      <w:r>
        <w:rPr>
          <w:rFonts w:ascii="David" w:hAnsi="David"/>
          <w:b/>
          <w:bCs/>
          <w:u w:val="single"/>
          <w:rtl/>
        </w:rPr>
        <w:t>הוצאות ההליך</w:t>
      </w:r>
      <w:r>
        <w:rPr>
          <w:rFonts w:ascii="David" w:hAnsi="David"/>
          <w:rtl/>
        </w:rPr>
        <w:t xml:space="preserve"> –  לאחר בחינת היקפו של ההליך ותוצאתו, הנתבע יישא בהוצאות התובעת בסך של </w:t>
      </w:r>
      <w:r>
        <w:rPr>
          <w:rFonts w:ascii="David" w:hAnsi="David" w:hint="cs"/>
          <w:rtl/>
        </w:rPr>
        <w:t>11</w:t>
      </w:r>
      <w:r>
        <w:rPr>
          <w:rFonts w:ascii="David" w:hAnsi="David"/>
          <w:rtl/>
        </w:rPr>
        <w:t>,</w:t>
      </w:r>
      <w:r>
        <w:rPr>
          <w:rFonts w:ascii="David" w:hAnsi="David" w:hint="cs"/>
          <w:rtl/>
        </w:rPr>
        <w:t>700</w:t>
      </w:r>
      <w:r>
        <w:rPr>
          <w:rFonts w:ascii="David" w:hAnsi="David"/>
          <w:rtl/>
        </w:rPr>
        <w:t xml:space="preserve"> ₪, אשר ישולמו בתוך 30 יום, ולא – יישאו הפרשי ריבית והצמדה כדין.</w:t>
      </w:r>
    </w:p>
    <w:p w:rsidR="008B0FB2" w:rsidRDefault="008B0FB2" w:rsidP="008B0FB2">
      <w:pPr>
        <w:pStyle w:val="aa"/>
        <w:rPr>
          <w:rFonts w:ascii="David" w:hAnsi="David"/>
        </w:rPr>
      </w:pPr>
    </w:p>
    <w:p w:rsidR="008B0FB2" w:rsidRDefault="008B0FB2" w:rsidP="008B0FB2">
      <w:pPr>
        <w:pStyle w:val="aa"/>
        <w:numPr>
          <w:ilvl w:val="3"/>
          <w:numId w:val="1"/>
        </w:numPr>
        <w:spacing w:line="360" w:lineRule="auto"/>
        <w:jc w:val="both"/>
        <w:rPr>
          <w:rFonts w:ascii="David" w:hAnsi="David"/>
          <w:rtl/>
        </w:rPr>
      </w:pPr>
      <w:r>
        <w:rPr>
          <w:rFonts w:ascii="David" w:hAnsi="David"/>
          <w:b/>
          <w:bCs/>
          <w:u w:val="single"/>
          <w:rtl/>
        </w:rPr>
        <w:t>המזכירות</w:t>
      </w:r>
      <w:r>
        <w:rPr>
          <w:rFonts w:ascii="David" w:hAnsi="David"/>
          <w:b/>
          <w:bCs/>
          <w:rtl/>
        </w:rPr>
        <w:t xml:space="preserve"> </w:t>
      </w:r>
      <w:r>
        <w:rPr>
          <w:rFonts w:ascii="David" w:hAnsi="David"/>
          <w:rtl/>
        </w:rPr>
        <w:t xml:space="preserve">תסגור את </w:t>
      </w:r>
      <w:r>
        <w:rPr>
          <w:rFonts w:ascii="Arial" w:hAnsi="Arial"/>
          <w:sz w:val="26"/>
          <w:szCs w:val="26"/>
          <w:rtl/>
        </w:rPr>
        <w:t>תמ"ש 3193-08-21.</w:t>
      </w:r>
    </w:p>
    <w:p w:rsidR="008B0FB2" w:rsidRDefault="008B0FB2" w:rsidP="008B0FB2">
      <w:pPr>
        <w:spacing w:line="360" w:lineRule="auto"/>
        <w:jc w:val="both"/>
        <w:rPr>
          <w:rFonts w:ascii="Arial" w:hAnsi="Arial"/>
          <w:noProof w:val="0"/>
          <w:rtl/>
        </w:rPr>
      </w:pPr>
    </w:p>
    <w:p w:rsidR="008B0FB2" w:rsidRDefault="008B0FB2" w:rsidP="008B0FB2">
      <w:pPr>
        <w:spacing w:line="360" w:lineRule="auto"/>
        <w:jc w:val="both"/>
        <w:rPr>
          <w:rFonts w:ascii="Arial" w:hAnsi="Arial"/>
          <w:noProof w:val="0"/>
          <w:rtl/>
        </w:rPr>
      </w:pPr>
    </w:p>
    <w:p w:rsidR="008B0FB2" w:rsidRDefault="008B0FB2" w:rsidP="008B0FB2">
      <w:pPr>
        <w:spacing w:line="360" w:lineRule="auto"/>
        <w:jc w:val="both"/>
        <w:rPr>
          <w:rFonts w:ascii="Arial" w:hAnsi="Arial"/>
          <w:noProof w:val="0"/>
          <w:rtl/>
        </w:rPr>
      </w:pPr>
    </w:p>
    <w:p w:rsidR="008B0FB2" w:rsidRDefault="008B0FB2" w:rsidP="008B0FB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כ"ו אב תשפ"ג</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13 אוגוסט 2023</w:t>
          </w:r>
        </w:sdtContent>
      </w:sdt>
      <w:r>
        <w:rPr>
          <w:rFonts w:ascii="Arial" w:hAnsi="Arial"/>
          <w:noProof w:val="0"/>
          <w:rtl/>
        </w:rPr>
        <w:t>, בהעדר הצדדים.</w:t>
      </w:r>
    </w:p>
    <w:p w:rsidR="008B0FB2" w:rsidRDefault="008B0FB2" w:rsidP="008B0FB2">
      <w:pPr>
        <w:spacing w:line="360" w:lineRule="auto"/>
        <w:jc w:val="both"/>
        <w:rPr>
          <w:rFonts w:ascii="Arial" w:hAnsi="Arial"/>
          <w:noProof w:val="0"/>
          <w:rtl/>
        </w:rPr>
      </w:pPr>
    </w:p>
    <w:p w:rsidR="008B0FB2" w:rsidRDefault="00CF2B3A" w:rsidP="008B0FB2">
      <w:pPr>
        <w:spacing w:line="360" w:lineRule="auto"/>
        <w:ind w:left="3600" w:firstLine="720"/>
        <w:jc w:val="both"/>
      </w:pPr>
      <w:sdt>
        <w:sdtPr>
          <w:rPr>
            <w:rtl/>
          </w:rPr>
          <w:alias w:val="MergeField"/>
          <w:tag w:val="1237"/>
          <w:id w:val="903109827"/>
        </w:sdtPr>
        <w:sdtEndPr/>
        <w:sdtContent>
          <w:r w:rsidR="008B0FB2">
            <w:drawing>
              <wp:inline distT="0" distB="0" distL="0" distR="0" wp14:anchorId="42CEBDCF" wp14:editId="105493CE">
                <wp:extent cx="1600200"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600200" cy="790575"/>
                        </a:xfrm>
                        <a:prstGeom prst="rect">
                          <a:avLst/>
                        </a:prstGeom>
                      </pic:spPr>
                    </pic:pic>
                  </a:graphicData>
                </a:graphic>
              </wp:inline>
            </w:drawing>
          </w:r>
        </w:sdtContent>
      </w:sdt>
    </w:p>
    <w:p w:rsidR="008B0FB2" w:rsidRDefault="008B0FB2" w:rsidP="008B0FB2">
      <w:pPr>
        <w:spacing w:line="360" w:lineRule="auto"/>
        <w:ind w:left="3600" w:firstLine="720"/>
        <w:jc w:val="both"/>
        <w:rPr>
          <w:rFonts w:ascii="Arial" w:hAnsi="Arial"/>
          <w:noProof w:val="0"/>
          <w:rtl/>
        </w:rPr>
      </w:pPr>
    </w:p>
    <w:p w:rsidR="008B0FB2" w:rsidRDefault="008B0FB2" w:rsidP="008B0FB2">
      <w:pPr>
        <w:spacing w:line="360" w:lineRule="auto"/>
        <w:jc w:val="both"/>
        <w:rPr>
          <w:rFonts w:ascii="Arial" w:hAnsi="Arial"/>
          <w:noProof w:val="0"/>
          <w:rtl/>
        </w:rPr>
      </w:pPr>
    </w:p>
    <w:p w:rsidR="008B0FB2" w:rsidRDefault="008B0FB2" w:rsidP="008B0FB2">
      <w:pPr>
        <w:spacing w:line="360" w:lineRule="auto"/>
        <w:jc w:val="both"/>
        <w:rPr>
          <w:rFonts w:ascii="Arial" w:hAnsi="Arial"/>
          <w:noProof w:val="0"/>
          <w:rtl/>
        </w:rPr>
      </w:pPr>
    </w:p>
    <w:p w:rsidR="008B0FB2" w:rsidRDefault="009C359D" w:rsidP="008B0FB2">
      <w:pPr>
        <w:spacing w:line="360" w:lineRule="auto"/>
        <w:jc w:val="both"/>
        <w:rPr>
          <w:rFonts w:ascii="Arial" w:hAnsi="Arial"/>
          <w:noProof w:val="0"/>
          <w:rtl/>
        </w:rPr>
      </w:pPr>
      <w:r>
        <w:rPr>
          <w:rFonts w:ascii="Arial" w:hAnsi="Arial" w:hint="cs"/>
          <w:noProof w:val="0"/>
          <w:rtl/>
        </w:rPr>
        <w:t>פסק הדין הותר לפרסום</w:t>
      </w:r>
      <w:r w:rsidR="00C94FAC">
        <w:rPr>
          <w:rFonts w:ascii="Arial" w:hAnsi="Arial" w:hint="cs"/>
          <w:noProof w:val="0"/>
          <w:rtl/>
        </w:rPr>
        <w:t xml:space="preserve"> ללא כל פרט מזהה</w:t>
      </w:r>
      <w:r>
        <w:rPr>
          <w:rFonts w:ascii="Arial" w:hAnsi="Arial" w:hint="cs"/>
          <w:noProof w:val="0"/>
          <w:rtl/>
        </w:rPr>
        <w:t xml:space="preserve"> בהחלטה ביום 11.12.23.</w:t>
      </w:r>
    </w:p>
    <w:p w:rsidR="008B0FB2" w:rsidRDefault="008B0FB2" w:rsidP="008B0FB2">
      <w:pPr>
        <w:spacing w:line="360" w:lineRule="auto"/>
        <w:jc w:val="both"/>
        <w:rPr>
          <w:rFonts w:ascii="Arial" w:hAnsi="Arial"/>
          <w:noProof w:val="0"/>
          <w:rtl/>
        </w:rPr>
      </w:pPr>
    </w:p>
    <w:p w:rsidR="008B0FB2" w:rsidRDefault="008B0FB2" w:rsidP="008B0FB2">
      <w:pPr>
        <w:spacing w:line="360" w:lineRule="auto"/>
        <w:jc w:val="both"/>
        <w:rPr>
          <w:rFonts w:ascii="Arial" w:hAnsi="Arial"/>
          <w:noProof w:val="0"/>
          <w:rtl/>
        </w:rPr>
      </w:pPr>
    </w:p>
    <w:p w:rsidR="000F7A84" w:rsidRDefault="000F7A84"/>
    <w:sectPr w:rsidR="000F7A84" w:rsidSect="002914D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43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2B3A" w:rsidRDefault="00CF2B3A">
      <w:r>
        <w:separator/>
      </w:r>
    </w:p>
  </w:endnote>
  <w:endnote w:type="continuationSeparator" w:id="0">
    <w:p w:rsidR="00CF2B3A" w:rsidRDefault="00CF2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Microsoft GothicNeo">
    <w:charset w:val="81"/>
    <w:family w:val="swiss"/>
    <w:pitch w:val="variable"/>
    <w:sig w:usb0="800002BF" w:usb1="29D7A47B" w:usb2="00000010" w:usb3="00000000" w:csb0="0029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F2B3A">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DA345C">
    <w:pPr>
      <w:pStyle w:val="a5"/>
      <w:jc w:val="center"/>
      <w:rPr>
        <w:rStyle w:val="a8"/>
      </w:rPr>
    </w:pPr>
    <w:r>
      <w:rPr>
        <w:rStyle w:val="a8"/>
      </w:rPr>
      <w:fldChar w:fldCharType="begin"/>
    </w:r>
    <w:r>
      <w:rPr>
        <w:rStyle w:val="a8"/>
      </w:rPr>
      <w:instrText xml:space="preserve"> PAGE </w:instrText>
    </w:r>
    <w:r>
      <w:rPr>
        <w:rStyle w:val="a8"/>
      </w:rPr>
      <w:fldChar w:fldCharType="separate"/>
    </w:r>
    <w:r w:rsidR="00CA4EAE">
      <w:rPr>
        <w:rStyle w:val="a8"/>
        <w:rtl/>
      </w:rPr>
      <w:t>1</w:t>
    </w:r>
    <w:r>
      <w:rPr>
        <w:rStyle w:val="a8"/>
      </w:rPr>
      <w:fldChar w:fldCharType="end"/>
    </w:r>
    <w:r>
      <w:rPr>
        <w:rStyle w:val="a8"/>
        <w:rFonts w:hint="cs"/>
        <w:rtl/>
      </w:rPr>
      <w:t xml:space="preserve"> מתוך </w:t>
    </w:r>
    <w:r>
      <w:rPr>
        <w:rStyle w:val="a8"/>
      </w:rPr>
      <w:fldChar w:fldCharType="begin"/>
    </w:r>
    <w:r>
      <w:rPr>
        <w:rStyle w:val="a8"/>
      </w:rPr>
      <w:instrText xml:space="preserve"> NUMPAGES </w:instrText>
    </w:r>
    <w:r>
      <w:rPr>
        <w:rStyle w:val="a8"/>
      </w:rPr>
      <w:fldChar w:fldCharType="separate"/>
    </w:r>
    <w:r w:rsidR="00CA4EAE">
      <w:rPr>
        <w:rStyle w:val="a8"/>
        <w:rtl/>
      </w:rPr>
      <w:t>19</w:t>
    </w:r>
    <w:r>
      <w:rPr>
        <w:rStyle w:val="a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F2B3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2B3A" w:rsidRDefault="00CF2B3A">
      <w:r>
        <w:separator/>
      </w:r>
    </w:p>
  </w:footnote>
  <w:footnote w:type="continuationSeparator" w:id="0">
    <w:p w:rsidR="00CF2B3A" w:rsidRDefault="00CF2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F2B3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F2B3A">
    <w:pPr>
      <w:pStyle w:val="a3"/>
      <w:jc w:val="center"/>
      <w:rPr>
        <w:rFonts w:cs="FrankRuehl"/>
        <w:noProof w:val="0"/>
        <w:sz w:val="28"/>
        <w:szCs w:val="28"/>
        <w:rtl/>
      </w:rPr>
    </w:pPr>
    <w:r>
      <w:rPr>
        <w:rFonts w:cs="FrankRuehl"/>
        <w:sz w:val="28"/>
        <w:szCs w:val="28"/>
        <w:rt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left:0;text-align:left;margin-left:0;margin-top:0;width:406.1pt;height:162.45pt;rotation:315;z-index:251659264;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טיוטה"/>
          <o:lock v:ext="edit" aspectratio="t"/>
          <w10:wrap anchorx="margin" anchory="margin"/>
        </v:shape>
      </w:pict>
    </w:r>
    <w:r w:rsidR="00DA345C">
      <w:rPr>
        <w:rFonts w:cs="FrankRuehl"/>
        <w:sz w:val="28"/>
        <w:szCs w:val="28"/>
      </w:rPr>
      <w:drawing>
        <wp:inline distT="0" distB="0" distL="0" distR="0" wp14:anchorId="58735B1B" wp14:editId="5C7B0907">
          <wp:extent cx="374015" cy="469265"/>
          <wp:effectExtent l="0" t="0" r="6985" b="6985"/>
          <wp:docPr id="4"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DA345C">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CF2B3A">
          <w:pPr>
            <w:rPr>
              <w:b/>
              <w:bCs/>
              <w:noProof w:val="0"/>
              <w:sz w:val="26"/>
              <w:szCs w:val="26"/>
              <w:rtl/>
            </w:rPr>
          </w:pPr>
        </w:p>
      </w:tc>
      <w:tc>
        <w:tcPr>
          <w:tcW w:w="3674" w:type="dxa"/>
        </w:tcPr>
        <w:p w:rsidR="002914D6" w:rsidRDefault="00CF2B3A">
          <w:pPr>
            <w:pStyle w:val="a3"/>
            <w:jc w:val="right"/>
            <w:rPr>
              <w:b/>
              <w:bCs/>
              <w:noProof w:val="0"/>
              <w:sz w:val="26"/>
              <w:szCs w:val="26"/>
              <w:rtl/>
            </w:rPr>
          </w:pPr>
        </w:p>
      </w:tc>
    </w:tr>
    <w:tr w:rsidR="002914D6">
      <w:trPr>
        <w:trHeight w:val="337"/>
        <w:jc w:val="center"/>
      </w:trPr>
      <w:tc>
        <w:tcPr>
          <w:tcW w:w="8721" w:type="dxa"/>
          <w:gridSpan w:val="2"/>
        </w:tcPr>
        <w:p w:rsidR="002914D6" w:rsidRDefault="00CF2B3A" w:rsidP="00323501">
          <w:pPr>
            <w:rPr>
              <w:b/>
              <w:bCs/>
              <w:noProof w:val="0"/>
              <w:sz w:val="26"/>
              <w:szCs w:val="26"/>
              <w:rtl/>
            </w:rPr>
          </w:pPr>
          <w:sdt>
            <w:sdtPr>
              <w:rPr>
                <w:rtl/>
              </w:rPr>
              <w:alias w:val="1170"/>
              <w:tag w:val="1170"/>
              <w:id w:val="-984775694"/>
              <w:text w:multiLine="1"/>
            </w:sdtPr>
            <w:sdtEndPr/>
            <w:sdtContent>
              <w:r w:rsidR="00DA345C">
                <w:rPr>
                  <w:b/>
                  <w:bCs/>
                  <w:noProof w:val="0"/>
                  <w:sz w:val="26"/>
                  <w:szCs w:val="26"/>
                  <w:rtl/>
                </w:rPr>
                <w:t>תמ"ש</w:t>
              </w:r>
            </w:sdtContent>
          </w:sdt>
          <w:r w:rsidR="00DA345C">
            <w:rPr>
              <w:b/>
              <w:bCs/>
              <w:noProof w:val="0"/>
              <w:sz w:val="26"/>
              <w:szCs w:val="26"/>
              <w:rtl/>
            </w:rPr>
            <w:t xml:space="preserve"> </w:t>
          </w:r>
          <w:bookmarkStart w:id="138" w:name="_GoBack"/>
          <w:sdt>
            <w:sdtPr>
              <w:rPr>
                <w:rtl/>
              </w:rPr>
              <w:alias w:val="1171"/>
              <w:tag w:val="1171"/>
              <w:id w:val="1025217868"/>
              <w:text w:multiLine="1"/>
            </w:sdtPr>
            <w:sdtEndPr/>
            <w:sdtContent>
              <w:r w:rsidR="00DA345C">
                <w:rPr>
                  <w:b/>
                  <w:bCs/>
                  <w:noProof w:val="0"/>
                  <w:sz w:val="26"/>
                  <w:szCs w:val="26"/>
                  <w:rtl/>
                </w:rPr>
                <w:t>3193-08-21</w:t>
              </w:r>
            </w:sdtContent>
          </w:sdt>
          <w:bookmarkEnd w:id="138"/>
          <w:r w:rsidR="00DA345C">
            <w:rPr>
              <w:b/>
              <w:bCs/>
              <w:noProof w:val="0"/>
              <w:sz w:val="26"/>
              <w:szCs w:val="26"/>
              <w:rtl/>
            </w:rPr>
            <w:t xml:space="preserve"> </w:t>
          </w:r>
          <w:sdt>
            <w:sdtPr>
              <w:rPr>
                <w:rtl/>
              </w:rPr>
              <w:alias w:val="1172"/>
              <w:tag w:val="1172"/>
              <w:id w:val="-673653942"/>
              <w:text w:multiLine="1"/>
            </w:sdtPr>
            <w:sdtEndPr/>
            <w:sdtContent>
              <w:r w:rsidR="00DA345C">
                <w:rPr>
                  <w:rFonts w:hint="cs"/>
                  <w:b/>
                  <w:bCs/>
                  <w:noProof w:val="0"/>
                  <w:sz w:val="26"/>
                  <w:szCs w:val="26"/>
                  <w:rtl/>
                </w:rPr>
                <w:t>התובעת</w:t>
              </w:r>
              <w:r w:rsidR="00DA345C">
                <w:rPr>
                  <w:b/>
                  <w:bCs/>
                  <w:noProof w:val="0"/>
                  <w:sz w:val="26"/>
                  <w:szCs w:val="26"/>
                  <w:rtl/>
                </w:rPr>
                <w:t xml:space="preserve"> נ' </w:t>
              </w:r>
              <w:r w:rsidR="00DA345C">
                <w:rPr>
                  <w:rFonts w:hint="cs"/>
                  <w:b/>
                  <w:bCs/>
                  <w:noProof w:val="0"/>
                  <w:sz w:val="26"/>
                  <w:szCs w:val="26"/>
                  <w:rtl/>
                </w:rPr>
                <w:t>הנתבע</w:t>
              </w:r>
            </w:sdtContent>
          </w:sdt>
        </w:p>
        <w:p w:rsidR="002914D6" w:rsidRDefault="00CF2B3A">
          <w:pPr>
            <w:rPr>
              <w:rtl/>
            </w:rPr>
          </w:pPr>
        </w:p>
      </w:tc>
    </w:tr>
  </w:tbl>
  <w:p w:rsidR="002914D6" w:rsidRDefault="00DA345C">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F2B3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44F50"/>
    <w:multiLevelType w:val="hybridMultilevel"/>
    <w:tmpl w:val="002E3200"/>
    <w:lvl w:ilvl="0" w:tplc="63927788">
      <w:start w:val="1"/>
      <w:numFmt w:val="hebrew1"/>
      <w:lvlText w:val="%1."/>
      <w:lvlJc w:val="left"/>
      <w:pPr>
        <w:ind w:left="567" w:hanging="567"/>
      </w:pPr>
      <w:rPr>
        <w:b/>
        <w:bCs/>
        <w:sz w:val="28"/>
        <w:szCs w:val="28"/>
      </w:rPr>
    </w:lvl>
    <w:lvl w:ilvl="1" w:tplc="2ADA328A">
      <w:start w:val="1"/>
      <w:numFmt w:val="lowerLetter"/>
      <w:lvlText w:val="%2."/>
      <w:lvlJc w:val="left"/>
      <w:pPr>
        <w:ind w:left="1440" w:hanging="360"/>
      </w:pPr>
    </w:lvl>
    <w:lvl w:ilvl="2" w:tplc="3B7C9484">
      <w:start w:val="1"/>
      <w:numFmt w:val="lowerRoman"/>
      <w:lvlText w:val="%3."/>
      <w:lvlJc w:val="right"/>
      <w:pPr>
        <w:ind w:left="2160" w:hanging="180"/>
      </w:pPr>
    </w:lvl>
    <w:lvl w:ilvl="3" w:tplc="2130953E">
      <w:start w:val="1"/>
      <w:numFmt w:val="decimal"/>
      <w:lvlText w:val="%4."/>
      <w:lvlJc w:val="left"/>
      <w:pPr>
        <w:ind w:left="567" w:hanging="567"/>
      </w:pPr>
      <w:rPr>
        <w:rFonts w:ascii="David" w:hAnsi="David" w:cs="David" w:hint="default"/>
        <w:b w:val="0"/>
        <w:bCs w:val="0"/>
        <w:strike w:val="0"/>
        <w:dstrike w:val="0"/>
        <w:sz w:val="24"/>
        <w:szCs w:val="24"/>
        <w:u w:val="none"/>
        <w:effect w:val="none"/>
      </w:rPr>
    </w:lvl>
    <w:lvl w:ilvl="4" w:tplc="10A620C0">
      <w:start w:val="1"/>
      <w:numFmt w:val="bullet"/>
      <w:lvlText w:val=""/>
      <w:lvlJc w:val="left"/>
      <w:pPr>
        <w:ind w:left="927" w:hanging="360"/>
      </w:pPr>
      <w:rPr>
        <w:rFonts w:ascii="Symbol" w:hAnsi="Symbol" w:hint="default"/>
      </w:rPr>
    </w:lvl>
    <w:lvl w:ilvl="5" w:tplc="B350B50E">
      <w:start w:val="1"/>
      <w:numFmt w:val="lowerRoman"/>
      <w:lvlText w:val="%6."/>
      <w:lvlJc w:val="right"/>
      <w:pPr>
        <w:ind w:left="4320" w:hanging="180"/>
      </w:pPr>
    </w:lvl>
    <w:lvl w:ilvl="6" w:tplc="87D0BA90">
      <w:start w:val="1"/>
      <w:numFmt w:val="decimal"/>
      <w:lvlText w:val="%7."/>
      <w:lvlJc w:val="left"/>
      <w:pPr>
        <w:ind w:left="5040" w:hanging="360"/>
      </w:pPr>
    </w:lvl>
    <w:lvl w:ilvl="7" w:tplc="AC96ABF0">
      <w:start w:val="1"/>
      <w:numFmt w:val="lowerLetter"/>
      <w:lvlText w:val="%8."/>
      <w:lvlJc w:val="left"/>
      <w:pPr>
        <w:ind w:left="5760" w:hanging="360"/>
      </w:pPr>
    </w:lvl>
    <w:lvl w:ilvl="8" w:tplc="95E020C6">
      <w:start w:val="1"/>
      <w:numFmt w:val="lowerRoman"/>
      <w:lvlText w:val="%9."/>
      <w:lvlJc w:val="right"/>
      <w:pPr>
        <w:ind w:left="6480" w:hanging="180"/>
      </w:pPr>
    </w:lvl>
  </w:abstractNum>
  <w:abstractNum w:abstractNumId="1" w15:restartNumberingAfterBreak="0">
    <w:nsid w:val="3F5862B5"/>
    <w:multiLevelType w:val="hybridMultilevel"/>
    <w:tmpl w:val="2342F85A"/>
    <w:lvl w:ilvl="0" w:tplc="3C167834">
      <w:start w:val="1"/>
      <w:numFmt w:val="hebrew1"/>
      <w:lvlText w:val="%1."/>
      <w:lvlJc w:val="left"/>
      <w:pPr>
        <w:ind w:left="720" w:hanging="360"/>
      </w:pPr>
    </w:lvl>
    <w:lvl w:ilvl="1" w:tplc="EC005C06">
      <w:start w:val="1"/>
      <w:numFmt w:val="lowerLetter"/>
      <w:lvlText w:val="%2."/>
      <w:lvlJc w:val="left"/>
      <w:pPr>
        <w:ind w:left="1440" w:hanging="360"/>
      </w:pPr>
    </w:lvl>
    <w:lvl w:ilvl="2" w:tplc="CDB082AA">
      <w:start w:val="1"/>
      <w:numFmt w:val="lowerRoman"/>
      <w:lvlText w:val="%3."/>
      <w:lvlJc w:val="right"/>
      <w:pPr>
        <w:ind w:left="2160" w:hanging="180"/>
      </w:pPr>
    </w:lvl>
    <w:lvl w:ilvl="3" w:tplc="4B3ED7E6">
      <w:start w:val="1"/>
      <w:numFmt w:val="decimal"/>
      <w:lvlText w:val="%4."/>
      <w:lvlJc w:val="left"/>
      <w:pPr>
        <w:ind w:left="2880" w:hanging="360"/>
      </w:pPr>
    </w:lvl>
    <w:lvl w:ilvl="4" w:tplc="2B3E7436">
      <w:start w:val="1"/>
      <w:numFmt w:val="lowerLetter"/>
      <w:lvlText w:val="%5."/>
      <w:lvlJc w:val="left"/>
      <w:pPr>
        <w:ind w:left="3600" w:hanging="360"/>
      </w:pPr>
    </w:lvl>
    <w:lvl w:ilvl="5" w:tplc="B4E06512">
      <w:start w:val="1"/>
      <w:numFmt w:val="lowerRoman"/>
      <w:lvlText w:val="%6."/>
      <w:lvlJc w:val="right"/>
      <w:pPr>
        <w:ind w:left="4320" w:hanging="180"/>
      </w:pPr>
    </w:lvl>
    <w:lvl w:ilvl="6" w:tplc="FC54AD68">
      <w:start w:val="1"/>
      <w:numFmt w:val="decimal"/>
      <w:lvlText w:val="%7."/>
      <w:lvlJc w:val="left"/>
      <w:pPr>
        <w:ind w:left="5040" w:hanging="360"/>
      </w:pPr>
    </w:lvl>
    <w:lvl w:ilvl="7" w:tplc="0932298C">
      <w:start w:val="1"/>
      <w:numFmt w:val="lowerLetter"/>
      <w:lvlText w:val="%8."/>
      <w:lvlJc w:val="left"/>
      <w:pPr>
        <w:ind w:left="5760" w:hanging="360"/>
      </w:pPr>
    </w:lvl>
    <w:lvl w:ilvl="8" w:tplc="4F40E3EC">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0FB2"/>
    <w:rsid w:val="000F7A84"/>
    <w:rsid w:val="00166DD5"/>
    <w:rsid w:val="008B0FB2"/>
    <w:rsid w:val="009C359D"/>
    <w:rsid w:val="00C94FAC"/>
    <w:rsid w:val="00CA4EAE"/>
    <w:rsid w:val="00CF2B3A"/>
    <w:rsid w:val="00DA345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52F9DFBD-B5D9-4267-A116-2542D144A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0FB2"/>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8B0FB2"/>
    <w:pPr>
      <w:tabs>
        <w:tab w:val="center" w:pos="4153"/>
        <w:tab w:val="right" w:pos="8306"/>
      </w:tabs>
    </w:pPr>
  </w:style>
  <w:style w:type="character" w:customStyle="1" w:styleId="a4">
    <w:name w:val="כותרת עליונה תו"/>
    <w:basedOn w:val="a0"/>
    <w:link w:val="a3"/>
    <w:rsid w:val="008B0FB2"/>
    <w:rPr>
      <w:rFonts w:ascii="Times New Roman" w:eastAsia="Times New Roman" w:hAnsi="Times New Roman" w:cs="David"/>
      <w:noProof/>
      <w:sz w:val="24"/>
      <w:szCs w:val="24"/>
    </w:rPr>
  </w:style>
  <w:style w:type="paragraph" w:styleId="a5">
    <w:name w:val="footer"/>
    <w:basedOn w:val="a"/>
    <w:link w:val="a6"/>
    <w:rsid w:val="008B0FB2"/>
    <w:pPr>
      <w:tabs>
        <w:tab w:val="center" w:pos="4153"/>
        <w:tab w:val="right" w:pos="8306"/>
      </w:tabs>
    </w:pPr>
  </w:style>
  <w:style w:type="character" w:customStyle="1" w:styleId="a6">
    <w:name w:val="כותרת תחתונה תו"/>
    <w:basedOn w:val="a0"/>
    <w:link w:val="a5"/>
    <w:rsid w:val="008B0FB2"/>
    <w:rPr>
      <w:rFonts w:ascii="Times New Roman" w:eastAsia="Times New Roman" w:hAnsi="Times New Roman" w:cs="David"/>
      <w:noProof/>
      <w:sz w:val="24"/>
      <w:szCs w:val="24"/>
    </w:rPr>
  </w:style>
  <w:style w:type="table" w:styleId="a7">
    <w:name w:val="Table Grid"/>
    <w:basedOn w:val="a1"/>
    <w:rsid w:val="008B0FB2"/>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8B0FB2"/>
  </w:style>
  <w:style w:type="character" w:styleId="a9">
    <w:name w:val="Placeholder Text"/>
    <w:basedOn w:val="a0"/>
    <w:uiPriority w:val="99"/>
    <w:semiHidden/>
    <w:rsid w:val="008B0FB2"/>
    <w:rPr>
      <w:color w:val="808080"/>
    </w:rPr>
  </w:style>
  <w:style w:type="paragraph" w:styleId="aa">
    <w:name w:val="List Paragraph"/>
    <w:basedOn w:val="a"/>
    <w:uiPriority w:val="34"/>
    <w:qFormat/>
    <w:rsid w:val="008B0FB2"/>
    <w:pPr>
      <w:ind w:left="720"/>
      <w:contextualSpacing/>
    </w:pPr>
  </w:style>
  <w:style w:type="character" w:customStyle="1" w:styleId="ab">
    <w:name w:val="תואר תו"/>
    <w:link w:val="1"/>
    <w:locked/>
    <w:rsid w:val="008B0FB2"/>
    <w:rPr>
      <w:b/>
      <w:bCs/>
      <w:szCs w:val="28"/>
      <w:u w:val="single"/>
      <w:shd w:val="pct20" w:color="auto" w:fill="FFFFFF"/>
      <w:lang w:eastAsia="he-IL"/>
    </w:rPr>
  </w:style>
  <w:style w:type="paragraph" w:customStyle="1" w:styleId="1">
    <w:name w:val="תואר1"/>
    <w:basedOn w:val="a"/>
    <w:link w:val="ab"/>
    <w:qFormat/>
    <w:rsid w:val="008B0FB2"/>
    <w:pPr>
      <w:shd w:val="pct20" w:color="auto" w:fill="FFFFFF"/>
      <w:spacing w:line="480" w:lineRule="auto"/>
      <w:ind w:left="1701" w:hanging="1701"/>
      <w:jc w:val="center"/>
    </w:pPr>
    <w:rPr>
      <w:rFonts w:asciiTheme="minorHAnsi" w:eastAsiaTheme="minorHAnsi" w:hAnsiTheme="minorHAnsi" w:cstheme="minorBidi"/>
      <w:b/>
      <w:bCs/>
      <w:noProof w:val="0"/>
      <w:sz w:val="22"/>
      <w:szCs w:val="28"/>
      <w:u w:val="single"/>
      <w:lang w:eastAsia="he-IL"/>
    </w:rPr>
  </w:style>
  <w:style w:type="paragraph" w:customStyle="1" w:styleId="Ruller4">
    <w:name w:val="Ruller4"/>
    <w:basedOn w:val="a"/>
    <w:rsid w:val="008B0FB2"/>
    <w:pPr>
      <w:tabs>
        <w:tab w:val="left" w:pos="800"/>
      </w:tabs>
      <w:overflowPunct w:val="0"/>
      <w:autoSpaceDE w:val="0"/>
      <w:autoSpaceDN w:val="0"/>
      <w:adjustRightInd w:val="0"/>
      <w:spacing w:line="360" w:lineRule="auto"/>
      <w:jc w:val="both"/>
    </w:pPr>
    <w:rPr>
      <w:rFonts w:ascii="Arial TUR" w:hAnsi="Arial TUR" w:cs="FrankRuehl"/>
      <w:noProof w:val="0"/>
      <w:spacing w:val="10"/>
      <w:sz w:val="22"/>
      <w:szCs w:val="28"/>
    </w:rPr>
  </w:style>
  <w:style w:type="character" w:styleId="ac">
    <w:name w:val="line number"/>
    <w:basedOn w:val="a0"/>
    <w:uiPriority w:val="99"/>
    <w:semiHidden/>
    <w:unhideWhenUsed/>
    <w:rsid w:val="008B0F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e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19</Pages>
  <Words>5091</Words>
  <Characters>25456</Characters>
  <Application>Microsoft Office Word</Application>
  <DocSecurity>0</DocSecurity>
  <Lines>212</Lines>
  <Paragraphs>60</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30487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תמר סנונית פורר</dc:creator>
  <cp:keywords/>
  <dc:description/>
  <cp:lastModifiedBy>אסתר טטרואשילי</cp:lastModifiedBy>
  <cp:revision>2</cp:revision>
  <dcterms:created xsi:type="dcterms:W3CDTF">2024-06-09T09:22:00Z</dcterms:created>
  <dcterms:modified xsi:type="dcterms:W3CDTF">2024-06-09T09:22:00Z</dcterms:modified>
</cp:coreProperties>
</file>